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3450F" w14:textId="77777777" w:rsidR="00CA2A39" w:rsidRDefault="00CA2A39" w:rsidP="001B3B76">
      <w:pPr>
        <w:pStyle w:val="Textoindependiente"/>
        <w:rPr>
          <w:color w:val="000000"/>
          <w:sz w:val="20"/>
        </w:rPr>
      </w:pPr>
    </w:p>
    <w:p w14:paraId="560D3321" w14:textId="77777777" w:rsidR="00844A73" w:rsidRDefault="00844A73" w:rsidP="001B3B76">
      <w:pPr>
        <w:pStyle w:val="Textoindependiente"/>
        <w:rPr>
          <w:color w:val="000000"/>
          <w:sz w:val="20"/>
        </w:rPr>
      </w:pPr>
    </w:p>
    <w:p w14:paraId="536F5B4B" w14:textId="77777777" w:rsidR="00CA2A39" w:rsidRDefault="00CA2A39" w:rsidP="001B3B76">
      <w:pPr>
        <w:pStyle w:val="Textoindependiente"/>
        <w:rPr>
          <w:color w:val="000000"/>
          <w:sz w:val="20"/>
        </w:rPr>
      </w:pPr>
    </w:p>
    <w:p w14:paraId="720E3212" w14:textId="0BC21868" w:rsidR="00A97D28" w:rsidRPr="00740634" w:rsidRDefault="00D111CA" w:rsidP="001B3B76">
      <w:pPr>
        <w:pStyle w:val="Textoindependiente"/>
        <w:rPr>
          <w:rFonts w:ascii="Verdana" w:hAnsi="Verdana"/>
        </w:rPr>
      </w:pPr>
      <w:r w:rsidRPr="7B9CE7B2">
        <w:rPr>
          <w:rFonts w:ascii="Verdana" w:hAnsi="Verdana"/>
          <w:color w:val="000000" w:themeColor="text1"/>
        </w:rPr>
        <w:t xml:space="preserve">Fecha: </w:t>
      </w:r>
      <w:r w:rsidRPr="7B9CE7B2">
        <w:rPr>
          <w:rFonts w:ascii="Verdana" w:hAnsi="Verdana"/>
          <w:b/>
          <w:bCs/>
          <w:color w:val="000000" w:themeColor="text1"/>
        </w:rPr>
        <w:t>*F_RAD_S*</w:t>
      </w:r>
    </w:p>
    <w:p w14:paraId="25A3D6F9" w14:textId="77777777" w:rsidR="00A97D28" w:rsidRPr="00740634" w:rsidRDefault="00D111CA" w:rsidP="001B3B76">
      <w:pPr>
        <w:pStyle w:val="Textoindependiente"/>
        <w:rPr>
          <w:rFonts w:ascii="Verdana" w:hAnsi="Verdana"/>
          <w:color w:val="000000"/>
        </w:rPr>
      </w:pPr>
      <w:r w:rsidRPr="00740634">
        <w:rPr>
          <w:rFonts w:ascii="Verdana" w:hAnsi="Verdana"/>
          <w:color w:val="000000"/>
        </w:rPr>
        <w:t> </w:t>
      </w:r>
    </w:p>
    <w:p w14:paraId="197AE0CE" w14:textId="77777777" w:rsidR="00A97D28" w:rsidRPr="00740634" w:rsidRDefault="00A97D28" w:rsidP="001B3B76">
      <w:pPr>
        <w:pStyle w:val="Textoindependiente"/>
        <w:rPr>
          <w:rFonts w:ascii="Verdana" w:hAnsi="Verdana"/>
          <w:color w:val="000000"/>
        </w:rPr>
      </w:pPr>
    </w:p>
    <w:p w14:paraId="1A0F0A37" w14:textId="77777777" w:rsidR="0053770C" w:rsidRPr="00740634" w:rsidRDefault="0053770C" w:rsidP="001B3B76">
      <w:pPr>
        <w:pStyle w:val="Textocomentario1"/>
        <w:rPr>
          <w:rFonts w:ascii="Verdana" w:hAnsi="Verdana" w:cs="Arial"/>
          <w:b/>
          <w:color w:val="000000"/>
          <w:sz w:val="22"/>
          <w:szCs w:val="22"/>
        </w:rPr>
      </w:pPr>
    </w:p>
    <w:p w14:paraId="4E07AF7B" w14:textId="4088FD2F" w:rsidR="00A97D28" w:rsidRPr="00740634" w:rsidRDefault="00D111CA" w:rsidP="001B3B76">
      <w:pPr>
        <w:pStyle w:val="Textocomentario1"/>
        <w:rPr>
          <w:rFonts w:ascii="Verdana" w:hAnsi="Verdana"/>
          <w:sz w:val="22"/>
          <w:szCs w:val="22"/>
        </w:rPr>
      </w:pPr>
      <w:r w:rsidRPr="00740634">
        <w:rPr>
          <w:rFonts w:ascii="Verdana" w:hAnsi="Verdana" w:cs="Arial"/>
          <w:b/>
          <w:color w:val="000000"/>
          <w:sz w:val="22"/>
          <w:szCs w:val="22"/>
        </w:rPr>
        <w:t xml:space="preserve">PARA: </w:t>
      </w:r>
      <w:r w:rsidR="00C85264" w:rsidRPr="00C85264">
        <w:rPr>
          <w:rFonts w:ascii="Verdana" w:hAnsi="Verdana" w:cs="Arial"/>
          <w:color w:val="000000"/>
          <w:sz w:val="22"/>
          <w:szCs w:val="22"/>
          <w:lang w:val="es-CO"/>
        </w:rPr>
        <w:t xml:space="preserve">Camilo Andrés Bustos Parra, Jefe </w:t>
      </w:r>
      <w:r w:rsidR="00EB255C">
        <w:rPr>
          <w:rFonts w:ascii="Verdana" w:hAnsi="Verdana" w:cs="Arial"/>
          <w:color w:val="000000"/>
          <w:sz w:val="22"/>
          <w:szCs w:val="22"/>
          <w:lang w:val="es-CO"/>
        </w:rPr>
        <w:t xml:space="preserve">de la </w:t>
      </w:r>
      <w:r w:rsidR="00C85264" w:rsidRPr="00C85264">
        <w:rPr>
          <w:rFonts w:ascii="Verdana" w:hAnsi="Verdana" w:cs="Arial"/>
          <w:color w:val="000000"/>
          <w:sz w:val="22"/>
          <w:szCs w:val="22"/>
          <w:lang w:val="es-CO"/>
        </w:rPr>
        <w:t>Oficina Asesora Jurídica.</w:t>
      </w:r>
    </w:p>
    <w:p w14:paraId="17E3D0D0" w14:textId="77777777" w:rsidR="00A97D28" w:rsidRPr="00740634" w:rsidRDefault="00A97D28" w:rsidP="001B3B76">
      <w:pPr>
        <w:pStyle w:val="Textocomentario1"/>
        <w:rPr>
          <w:rFonts w:ascii="Verdana" w:hAnsi="Verdana" w:cs="Arial"/>
          <w:sz w:val="22"/>
          <w:szCs w:val="22"/>
        </w:rPr>
      </w:pPr>
    </w:p>
    <w:p w14:paraId="19CE67D9" w14:textId="73EAB4F4" w:rsidR="00A97D28" w:rsidRPr="00740634" w:rsidRDefault="00D111CA" w:rsidP="001B3B76">
      <w:pPr>
        <w:pStyle w:val="Textoindependiente"/>
        <w:rPr>
          <w:rFonts w:ascii="Verdana" w:hAnsi="Verdana"/>
          <w:lang w:val="es-ES"/>
        </w:rPr>
      </w:pPr>
      <w:r w:rsidRPr="7B9CE7B2">
        <w:rPr>
          <w:rFonts w:ascii="Verdana" w:hAnsi="Verdana"/>
          <w:b/>
          <w:bCs/>
          <w:color w:val="000000" w:themeColor="text1"/>
          <w:lang w:val="es-ES"/>
        </w:rPr>
        <w:t xml:space="preserve">DE: </w:t>
      </w:r>
      <w:r>
        <w:tab/>
      </w:r>
      <w:r w:rsidR="00C85264" w:rsidRPr="00C85264">
        <w:rPr>
          <w:rFonts w:ascii="Verdana" w:hAnsi="Verdana"/>
          <w:color w:val="000000" w:themeColor="text1"/>
          <w:lang w:val="es-CO"/>
        </w:rPr>
        <w:t>Julio Cesar García López, Subdirector de Regulación (E).</w:t>
      </w:r>
    </w:p>
    <w:p w14:paraId="1E72B0B9" w14:textId="77777777" w:rsidR="00A97D28" w:rsidRPr="00740634" w:rsidRDefault="00A97D28" w:rsidP="001B3B76">
      <w:pPr>
        <w:pStyle w:val="Textoindependiente"/>
        <w:rPr>
          <w:rFonts w:ascii="Verdana" w:hAnsi="Verdana"/>
        </w:rPr>
      </w:pPr>
    </w:p>
    <w:p w14:paraId="30F26839" w14:textId="58A8E6D6" w:rsidR="00A97D28" w:rsidRPr="00740634" w:rsidRDefault="00D111CA" w:rsidP="001B3B76">
      <w:pPr>
        <w:pStyle w:val="Textoindependiente"/>
        <w:rPr>
          <w:rFonts w:ascii="Verdana" w:hAnsi="Verdana"/>
          <w:lang w:val="es-ES"/>
        </w:rPr>
      </w:pPr>
      <w:r w:rsidRPr="7B9CE7B2">
        <w:rPr>
          <w:rFonts w:ascii="Verdana" w:hAnsi="Verdana"/>
          <w:b/>
          <w:bCs/>
          <w:lang w:val="es-ES"/>
        </w:rPr>
        <w:t>ASUNTO:</w:t>
      </w:r>
      <w:r w:rsidRPr="7B9CE7B2">
        <w:rPr>
          <w:rFonts w:ascii="Verdana" w:hAnsi="Verdana"/>
          <w:lang w:val="es-ES"/>
        </w:rPr>
        <w:t xml:space="preserve"> </w:t>
      </w:r>
      <w:r w:rsidR="00C85264">
        <w:rPr>
          <w:rFonts w:ascii="Verdana" w:hAnsi="Verdana"/>
          <w:lang w:val="es-ES"/>
        </w:rPr>
        <w:t xml:space="preserve">Respuesta a memorando </w:t>
      </w:r>
      <w:r w:rsidR="00C85264" w:rsidRPr="00C85264">
        <w:rPr>
          <w:rFonts w:ascii="Verdana" w:hAnsi="Verdana"/>
          <w:lang w:val="es-ES"/>
        </w:rPr>
        <w:t>20260120005193</w:t>
      </w:r>
      <w:r w:rsidR="00C85264">
        <w:rPr>
          <w:rFonts w:ascii="Verdana" w:hAnsi="Verdana"/>
          <w:lang w:val="es-ES"/>
        </w:rPr>
        <w:t xml:space="preserve"> de 24 de junio de 2026. Apoyo a contestación de acción popular - </w:t>
      </w:r>
      <w:r w:rsidR="00C85264" w:rsidRPr="00C85264">
        <w:rPr>
          <w:rFonts w:ascii="Verdana" w:hAnsi="Verdana"/>
          <w:lang w:val="es-CO"/>
        </w:rPr>
        <w:t>Asociación Nacional de Empresas de Servicios Públicos y</w:t>
      </w:r>
      <w:r w:rsidR="00C85264">
        <w:rPr>
          <w:rFonts w:ascii="Verdana" w:hAnsi="Verdana"/>
          <w:lang w:val="es-CO"/>
        </w:rPr>
        <w:t xml:space="preserve"> </w:t>
      </w:r>
      <w:r w:rsidR="00C85264" w:rsidRPr="00C85264">
        <w:rPr>
          <w:rFonts w:ascii="Verdana" w:hAnsi="Verdana"/>
          <w:lang w:val="es-CO"/>
        </w:rPr>
        <w:t xml:space="preserve">Comunicaciones – </w:t>
      </w:r>
      <w:proofErr w:type="spellStart"/>
      <w:r w:rsidR="00C85264" w:rsidRPr="00C85264">
        <w:rPr>
          <w:rFonts w:ascii="Verdana" w:hAnsi="Verdana"/>
          <w:lang w:val="es-CO"/>
        </w:rPr>
        <w:t>Andesco</w:t>
      </w:r>
      <w:proofErr w:type="spellEnd"/>
      <w:r w:rsidR="00726DD2">
        <w:rPr>
          <w:rFonts w:ascii="Verdana" w:hAnsi="Verdana"/>
          <w:lang w:val="es-CO"/>
        </w:rPr>
        <w:t>.</w:t>
      </w:r>
    </w:p>
    <w:p w14:paraId="5E952354" w14:textId="77777777" w:rsidR="00A97D28" w:rsidRPr="00740634" w:rsidRDefault="00A97D28" w:rsidP="001B3B76">
      <w:pPr>
        <w:pStyle w:val="Textoindependiente"/>
        <w:rPr>
          <w:rFonts w:ascii="Verdana" w:hAnsi="Verdana"/>
        </w:rPr>
      </w:pPr>
    </w:p>
    <w:p w14:paraId="6E307C3F" w14:textId="77777777" w:rsidR="00C94DE4" w:rsidRDefault="00C94DE4" w:rsidP="001B3B76">
      <w:pPr>
        <w:pStyle w:val="Textoindependiente"/>
        <w:rPr>
          <w:rFonts w:ascii="Verdana" w:hAnsi="Verdana"/>
        </w:rPr>
      </w:pPr>
    </w:p>
    <w:p w14:paraId="3F3117F8" w14:textId="3F7E5FDD" w:rsidR="00C94DE4" w:rsidRPr="00C94DE4" w:rsidRDefault="00C94DE4" w:rsidP="001B3B76">
      <w:pPr>
        <w:pStyle w:val="Textoindependiente"/>
        <w:rPr>
          <w:rFonts w:ascii="Verdana" w:hAnsi="Verdana"/>
          <w:lang w:val="es-CO"/>
        </w:rPr>
      </w:pPr>
      <w:r w:rsidRPr="00C94DE4">
        <w:rPr>
          <w:rFonts w:ascii="Verdana" w:hAnsi="Verdana"/>
          <w:lang w:val="es-CO"/>
        </w:rPr>
        <w:t xml:space="preserve">Respetado doctor Bustos: </w:t>
      </w:r>
    </w:p>
    <w:p w14:paraId="3C9953D9" w14:textId="77777777" w:rsidR="00C94DE4" w:rsidRDefault="00C94DE4" w:rsidP="001B3B76">
      <w:pPr>
        <w:pStyle w:val="Textoindependiente"/>
        <w:rPr>
          <w:rFonts w:ascii="Verdana" w:hAnsi="Verdana"/>
          <w:lang w:val="es-CO"/>
        </w:rPr>
      </w:pPr>
    </w:p>
    <w:p w14:paraId="051DCA54" w14:textId="747DC3A7" w:rsidR="00C94DE4" w:rsidRDefault="00C94DE4" w:rsidP="001B3B76">
      <w:pPr>
        <w:pStyle w:val="Textoindependiente"/>
        <w:rPr>
          <w:rFonts w:ascii="Verdana" w:hAnsi="Verdana"/>
          <w:lang w:val="es-CO"/>
        </w:rPr>
      </w:pPr>
      <w:r w:rsidRPr="00C94DE4">
        <w:rPr>
          <w:rFonts w:ascii="Verdana" w:hAnsi="Verdana"/>
          <w:lang w:val="es-CO"/>
        </w:rPr>
        <w:t xml:space="preserve">En atención a </w:t>
      </w:r>
      <w:r>
        <w:rPr>
          <w:rFonts w:ascii="Verdana" w:hAnsi="Verdana"/>
          <w:lang w:val="es-CO"/>
        </w:rPr>
        <w:t>su</w:t>
      </w:r>
      <w:r w:rsidRPr="00C94DE4">
        <w:rPr>
          <w:rFonts w:ascii="Verdana" w:hAnsi="Verdana"/>
          <w:lang w:val="es-CO"/>
        </w:rPr>
        <w:t xml:space="preserve"> solicitud de apoyo técnico</w:t>
      </w:r>
      <w:r w:rsidR="00D111CA" w:rsidRPr="00C94DE4">
        <w:rPr>
          <w:rFonts w:ascii="Verdana" w:hAnsi="Verdana"/>
          <w:lang w:val="es-CO"/>
        </w:rPr>
        <w:t> </w:t>
      </w:r>
      <w:r w:rsidRPr="00C94DE4">
        <w:rPr>
          <w:rFonts w:ascii="Verdana" w:hAnsi="Verdana"/>
          <w:lang w:val="es-CO"/>
        </w:rPr>
        <w:t>relacionado con</w:t>
      </w:r>
      <w:r>
        <w:rPr>
          <w:rFonts w:ascii="Verdana" w:hAnsi="Verdana"/>
          <w:lang w:val="es-CO"/>
        </w:rPr>
        <w:t xml:space="preserve"> la acción popular </w:t>
      </w:r>
      <w:r w:rsidRPr="00C94DE4">
        <w:rPr>
          <w:rFonts w:ascii="Verdana" w:hAnsi="Verdana"/>
          <w:lang w:val="es-CO"/>
        </w:rPr>
        <w:t>con medida cautelar</w:t>
      </w:r>
      <w:r>
        <w:rPr>
          <w:rFonts w:ascii="Verdana" w:hAnsi="Verdana"/>
          <w:lang w:val="es-CO"/>
        </w:rPr>
        <w:t xml:space="preserve"> interpuesta por la </w:t>
      </w:r>
      <w:r w:rsidRPr="00C85264">
        <w:rPr>
          <w:rFonts w:ascii="Verdana" w:hAnsi="Verdana"/>
          <w:lang w:val="es-CO"/>
        </w:rPr>
        <w:t>Asociación Nacional de Empresas de Servicios Públicos y</w:t>
      </w:r>
      <w:r>
        <w:rPr>
          <w:rFonts w:ascii="Verdana" w:hAnsi="Verdana"/>
          <w:lang w:val="es-CO"/>
        </w:rPr>
        <w:t xml:space="preserve"> </w:t>
      </w:r>
      <w:r w:rsidRPr="00C85264">
        <w:rPr>
          <w:rFonts w:ascii="Verdana" w:hAnsi="Verdana"/>
          <w:lang w:val="es-CO"/>
        </w:rPr>
        <w:t xml:space="preserve">Comunicaciones – </w:t>
      </w:r>
      <w:proofErr w:type="spellStart"/>
      <w:r w:rsidRPr="00C85264">
        <w:rPr>
          <w:rFonts w:ascii="Verdana" w:hAnsi="Verdana"/>
          <w:lang w:val="es-CO"/>
        </w:rPr>
        <w:t>Andesco</w:t>
      </w:r>
      <w:proofErr w:type="spellEnd"/>
      <w:r>
        <w:rPr>
          <w:rFonts w:ascii="Verdana" w:hAnsi="Verdana"/>
          <w:lang w:val="es-CO"/>
        </w:rPr>
        <w:t xml:space="preserve"> contra </w:t>
      </w:r>
      <w:r w:rsidR="001B3B76" w:rsidRPr="001B3B76">
        <w:rPr>
          <w:rFonts w:ascii="Verdana" w:hAnsi="Verdana"/>
          <w:i/>
          <w:iCs/>
          <w:lang w:val="es-CO"/>
        </w:rPr>
        <w:t>“</w:t>
      </w:r>
      <w:r w:rsidRPr="001B3B76">
        <w:rPr>
          <w:rFonts w:ascii="Verdana" w:hAnsi="Verdana"/>
          <w:i/>
          <w:iCs/>
          <w:lang w:val="es-CO"/>
        </w:rPr>
        <w:t xml:space="preserve">la </w:t>
      </w:r>
      <w:r w:rsidRPr="001B3B76">
        <w:rPr>
          <w:rFonts w:ascii="Verdana" w:hAnsi="Verdana"/>
          <w:i/>
          <w:iCs/>
          <w:lang w:val="es-CO"/>
        </w:rPr>
        <w:t>Resolución CRA 1032 de 2026, que establece el nuevo marco tarifario</w:t>
      </w:r>
      <w:r w:rsidRPr="001B3B76">
        <w:rPr>
          <w:rFonts w:ascii="Verdana" w:hAnsi="Verdana"/>
          <w:i/>
          <w:iCs/>
          <w:lang w:val="es-CO"/>
        </w:rPr>
        <w:t xml:space="preserve"> </w:t>
      </w:r>
      <w:r w:rsidRPr="001B3B76">
        <w:rPr>
          <w:rFonts w:ascii="Verdana" w:hAnsi="Verdana"/>
          <w:i/>
          <w:iCs/>
          <w:lang w:val="es-CO"/>
        </w:rPr>
        <w:t>(“NMT”) para prestadores de acueducto y alcantarillado con más de 5.000</w:t>
      </w:r>
      <w:r w:rsidRPr="001B3B76">
        <w:rPr>
          <w:rFonts w:ascii="Verdana" w:hAnsi="Verdana"/>
          <w:i/>
          <w:iCs/>
          <w:lang w:val="es-CO"/>
        </w:rPr>
        <w:t xml:space="preserve"> </w:t>
      </w:r>
      <w:r w:rsidRPr="001B3B76">
        <w:rPr>
          <w:rFonts w:ascii="Verdana" w:hAnsi="Verdana"/>
          <w:i/>
          <w:iCs/>
          <w:lang w:val="es-CO"/>
        </w:rPr>
        <w:t>suscriptores urbanos</w:t>
      </w:r>
      <w:r w:rsidR="001B3B76">
        <w:rPr>
          <w:rFonts w:ascii="Verdana" w:hAnsi="Verdana"/>
          <w:i/>
          <w:iCs/>
          <w:lang w:val="es-CO"/>
        </w:rPr>
        <w:t>”</w:t>
      </w:r>
      <w:r>
        <w:rPr>
          <w:rFonts w:ascii="Verdana" w:hAnsi="Verdana"/>
          <w:lang w:val="es-CO"/>
        </w:rPr>
        <w:t>, esta Subdirección se permite</w:t>
      </w:r>
      <w:r w:rsidR="00F04FFB">
        <w:rPr>
          <w:rFonts w:ascii="Verdana" w:hAnsi="Verdana"/>
          <w:lang w:val="es-CO"/>
        </w:rPr>
        <w:t xml:space="preserve"> brindar respuesta </w:t>
      </w:r>
      <w:r w:rsidR="00B95903">
        <w:rPr>
          <w:rFonts w:ascii="Verdana" w:hAnsi="Verdana"/>
          <w:lang w:val="es-CO"/>
        </w:rPr>
        <w:t>a cada uno de los puntos</w:t>
      </w:r>
      <w:r w:rsidR="00437AE2">
        <w:rPr>
          <w:rFonts w:ascii="Verdana" w:hAnsi="Verdana"/>
          <w:lang w:val="es-CO"/>
        </w:rPr>
        <w:t xml:space="preserve"> s</w:t>
      </w:r>
      <w:r w:rsidR="00B95903">
        <w:rPr>
          <w:rFonts w:ascii="Verdana" w:hAnsi="Verdana"/>
          <w:lang w:val="es-CO"/>
        </w:rPr>
        <w:t>eñalados</w:t>
      </w:r>
      <w:r w:rsidR="00F04FFB">
        <w:rPr>
          <w:rFonts w:ascii="Verdana" w:hAnsi="Verdana"/>
          <w:lang w:val="es-CO"/>
        </w:rPr>
        <w:t>:</w:t>
      </w:r>
    </w:p>
    <w:p w14:paraId="6EB27C71" w14:textId="77777777" w:rsidR="00F04FFB" w:rsidRPr="005869B8" w:rsidRDefault="00F04FFB" w:rsidP="001B3B76">
      <w:pPr>
        <w:pStyle w:val="Textoindependiente"/>
        <w:rPr>
          <w:rFonts w:ascii="Verdana" w:hAnsi="Verdana"/>
          <w:lang w:val="es-CO"/>
        </w:rPr>
      </w:pPr>
    </w:p>
    <w:p w14:paraId="16AD45FE" w14:textId="3F7B8D10" w:rsidR="00F04FFB" w:rsidRPr="005869B8" w:rsidRDefault="005869B8" w:rsidP="00511E79">
      <w:pPr>
        <w:pStyle w:val="Textoindependiente"/>
        <w:numPr>
          <w:ilvl w:val="0"/>
          <w:numId w:val="9"/>
        </w:numPr>
        <w:rPr>
          <w:rFonts w:ascii="Verdana" w:hAnsi="Verdana"/>
          <w:lang w:val="es-ES"/>
        </w:rPr>
      </w:pPr>
      <w:r w:rsidRPr="005869B8">
        <w:rPr>
          <w:rFonts w:ascii="Verdana" w:hAnsi="Verdana"/>
          <w:i/>
          <w:iCs/>
        </w:rPr>
        <w:t>La justificación técnica del plazo de implementación del NMT, que demuestre su suficiencia y razonabilidad, junto con los documentos que hicieron parte del proceso de expedición, conocidos por los participantes y que determinan la viabilidad del plazo ya señalado.</w:t>
      </w:r>
    </w:p>
    <w:p w14:paraId="4663F359" w14:textId="62E79895" w:rsidR="00A97D28" w:rsidRPr="00C94DE4" w:rsidRDefault="00C94DE4" w:rsidP="001B3B76">
      <w:pPr>
        <w:pStyle w:val="Textoindependiente"/>
        <w:rPr>
          <w:rFonts w:ascii="Verdana" w:hAnsi="Verdana"/>
          <w:lang w:val="es-CO"/>
        </w:rPr>
      </w:pPr>
      <w:r>
        <w:rPr>
          <w:rFonts w:ascii="Verdana" w:hAnsi="Verdana"/>
          <w:lang w:val="es-CO"/>
        </w:rPr>
        <w:t xml:space="preserve"> </w:t>
      </w:r>
      <w:r w:rsidRPr="00C94DE4">
        <w:rPr>
          <w:rFonts w:ascii="Verdana" w:hAnsi="Verdana"/>
          <w:lang w:val="es-CO"/>
        </w:rPr>
        <w:t xml:space="preserve"> </w:t>
      </w:r>
    </w:p>
    <w:p w14:paraId="721C682D" w14:textId="77777777" w:rsidR="005869B8" w:rsidRDefault="005869B8" w:rsidP="001B3B76">
      <w:pPr>
        <w:jc w:val="both"/>
        <w:rPr>
          <w:rFonts w:ascii="Verdana" w:hAnsi="Verdana"/>
        </w:rPr>
      </w:pPr>
      <w:r w:rsidRPr="006152A0">
        <w:rPr>
          <w:rFonts w:ascii="Verdana" w:hAnsi="Verdana"/>
        </w:rPr>
        <w:t xml:space="preserve">La definición del inicio de aplicación a partir de </w:t>
      </w:r>
      <w:r>
        <w:rPr>
          <w:rFonts w:ascii="Verdana" w:hAnsi="Verdana"/>
        </w:rPr>
        <w:t xml:space="preserve">los </w:t>
      </w:r>
      <w:r w:rsidRPr="006152A0">
        <w:rPr>
          <w:rFonts w:ascii="Verdana" w:hAnsi="Verdana"/>
        </w:rPr>
        <w:t xml:space="preserve">consumos generados desde el 1 de julio de 2026 respondió a consideraciones técnicas, operativas y regulatorias, entre las cuales se destacan: </w:t>
      </w:r>
    </w:p>
    <w:p w14:paraId="46D57F35" w14:textId="77777777" w:rsidR="005869B8" w:rsidRPr="006152A0" w:rsidRDefault="005869B8" w:rsidP="001B3B76">
      <w:pPr>
        <w:jc w:val="both"/>
        <w:rPr>
          <w:rFonts w:ascii="Verdana" w:hAnsi="Verdana"/>
        </w:rPr>
      </w:pPr>
    </w:p>
    <w:p w14:paraId="077DEDA6" w14:textId="77777777" w:rsidR="005869B8" w:rsidRPr="000E573B" w:rsidRDefault="005869B8" w:rsidP="001B3B76">
      <w:pPr>
        <w:pStyle w:val="Prrafodelista"/>
        <w:numPr>
          <w:ilvl w:val="0"/>
          <w:numId w:val="5"/>
        </w:numPr>
        <w:autoSpaceDN/>
        <w:contextualSpacing/>
        <w:jc w:val="both"/>
        <w:textAlignment w:val="auto"/>
        <w:rPr>
          <w:rFonts w:ascii="Verdana" w:hAnsi="Verdana"/>
        </w:rPr>
      </w:pPr>
      <w:r w:rsidRPr="000E573B">
        <w:rPr>
          <w:rFonts w:ascii="Verdana" w:hAnsi="Verdana"/>
        </w:rPr>
        <w:t xml:space="preserve">Necesidad de evitar un vacío regulatorio </w:t>
      </w:r>
    </w:p>
    <w:p w14:paraId="0512A12C" w14:textId="77777777" w:rsidR="005869B8" w:rsidRDefault="005869B8" w:rsidP="001B3B76">
      <w:pPr>
        <w:jc w:val="both"/>
        <w:rPr>
          <w:rFonts w:ascii="Verdana" w:hAnsi="Verdana"/>
        </w:rPr>
      </w:pPr>
    </w:p>
    <w:p w14:paraId="502A4C14" w14:textId="7DD2A559" w:rsidR="005869B8" w:rsidRDefault="005869B8" w:rsidP="001B3B76">
      <w:pPr>
        <w:jc w:val="both"/>
        <w:rPr>
          <w:rFonts w:ascii="Verdana" w:hAnsi="Verdana"/>
        </w:rPr>
      </w:pPr>
      <w:r w:rsidRPr="006152A0">
        <w:rPr>
          <w:rFonts w:ascii="Verdana" w:hAnsi="Verdana"/>
        </w:rPr>
        <w:t>El régimen tarifario anterior, definido en la Resolución CRA 688 de 2014, fue diseñado bajo un horizonte regulatorio de diez (10) años. En consecuencia, mantener indefinidamente dicho régimen hubiese generado inconsistencias frente a las proyecciones originalmente previstas</w:t>
      </w:r>
      <w:r w:rsidR="00F758D5">
        <w:rPr>
          <w:rFonts w:ascii="Verdana" w:hAnsi="Verdana"/>
        </w:rPr>
        <w:t>,</w:t>
      </w:r>
      <w:r w:rsidRPr="006152A0">
        <w:rPr>
          <w:rFonts w:ascii="Verdana" w:hAnsi="Verdana"/>
        </w:rPr>
        <w:t xml:space="preserve"> las metas regulatorias</w:t>
      </w:r>
      <w:r w:rsidR="00F758D5">
        <w:rPr>
          <w:rFonts w:ascii="Verdana" w:hAnsi="Verdana"/>
        </w:rPr>
        <w:t>,</w:t>
      </w:r>
      <w:r w:rsidRPr="006152A0">
        <w:rPr>
          <w:rFonts w:ascii="Verdana" w:hAnsi="Verdana"/>
        </w:rPr>
        <w:t xml:space="preserve"> </w:t>
      </w:r>
      <w:r>
        <w:rPr>
          <w:rFonts w:ascii="Verdana" w:hAnsi="Verdana"/>
        </w:rPr>
        <w:t xml:space="preserve">las inversiones </w:t>
      </w:r>
      <w:r>
        <w:rPr>
          <w:rFonts w:ascii="Verdana" w:hAnsi="Verdana"/>
        </w:rPr>
        <w:t>incor</w:t>
      </w:r>
      <w:r w:rsidR="00F758D5">
        <w:rPr>
          <w:rFonts w:ascii="Verdana" w:hAnsi="Verdana"/>
        </w:rPr>
        <w:t>po</w:t>
      </w:r>
      <w:r>
        <w:rPr>
          <w:rFonts w:ascii="Verdana" w:hAnsi="Verdana"/>
        </w:rPr>
        <w:t xml:space="preserve">radas en el Plan de Obras e Inversiones Regulado </w:t>
      </w:r>
      <w:r w:rsidR="00511E79">
        <w:rPr>
          <w:rFonts w:ascii="Verdana" w:hAnsi="Verdana"/>
        </w:rPr>
        <w:t xml:space="preserve">- </w:t>
      </w:r>
      <w:r>
        <w:rPr>
          <w:rFonts w:ascii="Verdana" w:hAnsi="Verdana"/>
        </w:rPr>
        <w:t xml:space="preserve">POIR </w:t>
      </w:r>
      <w:r w:rsidRPr="006152A0">
        <w:rPr>
          <w:rFonts w:ascii="Verdana" w:hAnsi="Verdana"/>
        </w:rPr>
        <w:t xml:space="preserve">y la actualización de </w:t>
      </w:r>
      <w:r w:rsidRPr="006152A0">
        <w:rPr>
          <w:rFonts w:ascii="Verdana" w:hAnsi="Verdana"/>
        </w:rPr>
        <w:lastRenderedPageBreak/>
        <w:t xml:space="preserve">costos. Asimismo, conforme al artículo 88 de la Ley 142 de 1994, las empresas deberán ceñirse a las fórmulas que defina periódicamente la respectiva comisión para fijar sus tarifas, razón por la cual la Comisión debía asegurar la continuidad del marco regulatorio aplicable. </w:t>
      </w:r>
    </w:p>
    <w:p w14:paraId="01B56FCA" w14:textId="77777777" w:rsidR="005869B8" w:rsidRPr="006152A0" w:rsidRDefault="005869B8" w:rsidP="001B3B76">
      <w:pPr>
        <w:jc w:val="both"/>
        <w:rPr>
          <w:rFonts w:ascii="Verdana" w:hAnsi="Verdana"/>
        </w:rPr>
      </w:pPr>
    </w:p>
    <w:p w14:paraId="288E47AA" w14:textId="77777777" w:rsidR="005869B8" w:rsidRPr="000E573B" w:rsidRDefault="005869B8" w:rsidP="001B3B76">
      <w:pPr>
        <w:pStyle w:val="Prrafodelista"/>
        <w:numPr>
          <w:ilvl w:val="0"/>
          <w:numId w:val="5"/>
        </w:numPr>
        <w:autoSpaceDN/>
        <w:contextualSpacing/>
        <w:jc w:val="both"/>
        <w:textAlignment w:val="auto"/>
        <w:rPr>
          <w:rFonts w:ascii="Verdana" w:hAnsi="Verdana"/>
        </w:rPr>
      </w:pPr>
      <w:r w:rsidRPr="000E573B">
        <w:rPr>
          <w:rFonts w:ascii="Verdana" w:hAnsi="Verdana"/>
        </w:rPr>
        <w:t xml:space="preserve">Implementación progresiva y gradual </w:t>
      </w:r>
    </w:p>
    <w:p w14:paraId="75600FD6" w14:textId="77777777" w:rsidR="005869B8" w:rsidRDefault="005869B8" w:rsidP="001B3B76">
      <w:pPr>
        <w:jc w:val="both"/>
        <w:rPr>
          <w:rFonts w:ascii="Verdana" w:hAnsi="Verdana"/>
        </w:rPr>
      </w:pPr>
    </w:p>
    <w:p w14:paraId="014C75BD" w14:textId="77777777" w:rsidR="005869B8" w:rsidRDefault="005869B8" w:rsidP="001B3B76">
      <w:pPr>
        <w:jc w:val="both"/>
        <w:rPr>
          <w:rFonts w:ascii="Verdana" w:hAnsi="Verdana"/>
        </w:rPr>
      </w:pPr>
      <w:r w:rsidRPr="006152A0">
        <w:rPr>
          <w:rFonts w:ascii="Verdana" w:hAnsi="Verdana"/>
        </w:rPr>
        <w:t>La demanda parte de la premisa de que el nuevo marco deb</w:t>
      </w:r>
      <w:r>
        <w:rPr>
          <w:rFonts w:ascii="Verdana" w:hAnsi="Verdana"/>
        </w:rPr>
        <w:t>e</w:t>
      </w:r>
      <w:r w:rsidRPr="006152A0">
        <w:rPr>
          <w:rFonts w:ascii="Verdana" w:hAnsi="Verdana"/>
        </w:rPr>
        <w:t xml:space="preserve"> implementarse integralmente desde el 1 de julio de 2026, lo cual no corresponde al diseño regulatorio </w:t>
      </w:r>
      <w:r w:rsidRPr="008D6002">
        <w:rPr>
          <w:rFonts w:ascii="Verdana" w:hAnsi="Verdana"/>
        </w:rPr>
        <w:t>adoptado. La Resolución CRA 1032 de 2026 estableció una implementación escalonada -lo cual incluso se presenta de manera gráfica en la ilustración 6 del numeral 1.4 del documento de trabajo que acompaña la misma norma- como se expone a continuación:</w:t>
      </w:r>
      <w:r w:rsidRPr="006152A0">
        <w:rPr>
          <w:rFonts w:ascii="Verdana" w:hAnsi="Verdana"/>
        </w:rPr>
        <w:t xml:space="preserve"> </w:t>
      </w:r>
    </w:p>
    <w:p w14:paraId="6D4D83D6" w14:textId="77777777" w:rsidR="005869B8" w:rsidRPr="006152A0" w:rsidRDefault="005869B8" w:rsidP="001B3B76">
      <w:pPr>
        <w:jc w:val="both"/>
        <w:rPr>
          <w:rFonts w:ascii="Verdana" w:hAnsi="Verdana"/>
        </w:rPr>
      </w:pPr>
    </w:p>
    <w:p w14:paraId="51C7A114" w14:textId="77777777" w:rsidR="005869B8" w:rsidRDefault="005869B8" w:rsidP="001B3B76">
      <w:pPr>
        <w:numPr>
          <w:ilvl w:val="0"/>
          <w:numId w:val="2"/>
        </w:numPr>
        <w:autoSpaceDN/>
        <w:jc w:val="both"/>
        <w:textAlignment w:val="auto"/>
        <w:rPr>
          <w:rFonts w:ascii="Verdana" w:hAnsi="Verdana"/>
        </w:rPr>
      </w:pPr>
      <w:r w:rsidRPr="006152A0">
        <w:rPr>
          <w:rFonts w:ascii="Verdana" w:hAnsi="Verdana"/>
        </w:rPr>
        <w:t>Un período previo de preparación. Los prestadores dispon</w:t>
      </w:r>
      <w:r>
        <w:rPr>
          <w:rFonts w:ascii="Verdana" w:hAnsi="Verdana"/>
        </w:rPr>
        <w:t>ían</w:t>
      </w:r>
      <w:r w:rsidRPr="006152A0">
        <w:rPr>
          <w:rFonts w:ascii="Verdana" w:hAnsi="Verdana"/>
        </w:rPr>
        <w:t xml:space="preserve"> del tiempo comprendido entre la fecha de expedición de la resolución y el 30 de junio de 2026 para adelantar los estudios técnicos y las acciones necesarias para la implementación del nuevo marco tarifario, lo cual fue considerado suficiente en función de las simplificaciones introducidas para el periodo de inicio, el uso de información histórica disponible y la continuidad de elementos del marco anterior. </w:t>
      </w:r>
    </w:p>
    <w:p w14:paraId="727B56B4" w14:textId="77777777" w:rsidR="005869B8" w:rsidRPr="006152A0" w:rsidRDefault="005869B8" w:rsidP="001B3B76">
      <w:pPr>
        <w:jc w:val="both"/>
        <w:rPr>
          <w:rFonts w:ascii="Verdana" w:hAnsi="Verdana"/>
        </w:rPr>
      </w:pPr>
    </w:p>
    <w:p w14:paraId="00BA1A73" w14:textId="77777777" w:rsidR="005869B8" w:rsidRDefault="005869B8" w:rsidP="001B3B76">
      <w:pPr>
        <w:numPr>
          <w:ilvl w:val="0"/>
          <w:numId w:val="2"/>
        </w:numPr>
        <w:autoSpaceDN/>
        <w:jc w:val="both"/>
        <w:textAlignment w:val="auto"/>
        <w:rPr>
          <w:rFonts w:ascii="Verdana" w:hAnsi="Verdana"/>
        </w:rPr>
      </w:pPr>
      <w:r w:rsidRPr="006152A0">
        <w:rPr>
          <w:rFonts w:ascii="Verdana" w:hAnsi="Verdana"/>
        </w:rPr>
        <w:t xml:space="preserve">Un período de inicio. La Comisión estructuró el esquema de implementación bajo la figura del periodo de inicio, comprendido entre el 1 de julio y el 31 de diciembre de 2026, con el propósito de permitir un empalme ordenado entre el marco tarifario anterior y el nuevo, armonizar la aplicación tarifaria con el ciclo anual y facilitar la preparación de los cálculos correspondientes al primer año tarifario (2027). En consecuencia, </w:t>
      </w:r>
      <w:r>
        <w:rPr>
          <w:rFonts w:ascii="Verdana" w:hAnsi="Verdana"/>
        </w:rPr>
        <w:t xml:space="preserve">en </w:t>
      </w:r>
      <w:r w:rsidRPr="006152A0">
        <w:rPr>
          <w:rFonts w:ascii="Verdana" w:hAnsi="Verdana"/>
        </w:rPr>
        <w:t xml:space="preserve">este periodo </w:t>
      </w:r>
      <w:r>
        <w:rPr>
          <w:rFonts w:ascii="Verdana" w:hAnsi="Verdana"/>
        </w:rPr>
        <w:t xml:space="preserve">de inicio </w:t>
      </w:r>
      <w:r w:rsidRPr="006152A0">
        <w:rPr>
          <w:rFonts w:ascii="Verdana" w:hAnsi="Verdana"/>
        </w:rPr>
        <w:t xml:space="preserve">no </w:t>
      </w:r>
      <w:r>
        <w:rPr>
          <w:rFonts w:ascii="Verdana" w:hAnsi="Verdana"/>
        </w:rPr>
        <w:t xml:space="preserve">se </w:t>
      </w:r>
      <w:r w:rsidRPr="006152A0">
        <w:rPr>
          <w:rFonts w:ascii="Verdana" w:hAnsi="Verdana"/>
        </w:rPr>
        <w:t xml:space="preserve">exige la aplicación plena de todos los componentes metodológicos, sino que constituye una fase transitoria de implementación. </w:t>
      </w:r>
    </w:p>
    <w:p w14:paraId="7E956658" w14:textId="77777777" w:rsidR="005869B8" w:rsidRPr="006152A0" w:rsidRDefault="005869B8" w:rsidP="001B3B76">
      <w:pPr>
        <w:jc w:val="both"/>
        <w:rPr>
          <w:rFonts w:ascii="Verdana" w:hAnsi="Verdana"/>
        </w:rPr>
      </w:pPr>
    </w:p>
    <w:p w14:paraId="4484437E" w14:textId="77777777" w:rsidR="005869B8" w:rsidRDefault="005869B8" w:rsidP="001B3B76">
      <w:pPr>
        <w:numPr>
          <w:ilvl w:val="0"/>
          <w:numId w:val="2"/>
        </w:numPr>
        <w:autoSpaceDN/>
        <w:jc w:val="both"/>
        <w:textAlignment w:val="auto"/>
        <w:rPr>
          <w:rFonts w:ascii="Verdana" w:hAnsi="Verdana"/>
        </w:rPr>
      </w:pPr>
      <w:r w:rsidRPr="006152A0">
        <w:rPr>
          <w:rFonts w:ascii="Verdana" w:hAnsi="Verdana"/>
        </w:rPr>
        <w:t>Aplicación progresiva de las herramientas estructurales a partir de 2027 y 2028. En el primer año tarifario</w:t>
      </w:r>
      <w:r>
        <w:rPr>
          <w:rFonts w:ascii="Verdana" w:hAnsi="Verdana"/>
        </w:rPr>
        <w:t xml:space="preserve"> que va del</w:t>
      </w:r>
      <w:r w:rsidRPr="006152A0">
        <w:rPr>
          <w:rFonts w:ascii="Verdana" w:hAnsi="Verdana"/>
        </w:rPr>
        <w:t xml:space="preserve"> 1 de enero al 31 de diciembre de 2027, el prestador deberá definir las metas orientadas al cumplimiento de los estándares de prestación e iniciar la aplicación de las medidas de eficiencia sobre los costos administrativos y operativos comparables. A partir del segundo año tarifario, </w:t>
      </w:r>
      <w:r>
        <w:rPr>
          <w:rFonts w:ascii="Verdana" w:hAnsi="Verdana"/>
        </w:rPr>
        <w:t xml:space="preserve">es decir, del </w:t>
      </w:r>
      <w:r w:rsidRPr="006152A0">
        <w:rPr>
          <w:rFonts w:ascii="Verdana" w:hAnsi="Verdana"/>
        </w:rPr>
        <w:t xml:space="preserve">1 de enero al 31 de diciembre de 2028, se incorporará el seguimiento al cumplimiento de las metas de manera que, ante su incumplimiento, se aplicarán descuentos tarifarios, mientras que la </w:t>
      </w:r>
      <w:r w:rsidRPr="006152A0">
        <w:rPr>
          <w:rFonts w:ascii="Verdana" w:hAnsi="Verdana"/>
        </w:rPr>
        <w:lastRenderedPageBreak/>
        <w:t xml:space="preserve">superación de los estándares o la adopción de buenas prácticas dará lugar al reconocimiento de incentivos tarifarios. </w:t>
      </w:r>
    </w:p>
    <w:p w14:paraId="211E1204" w14:textId="77777777" w:rsidR="005869B8" w:rsidRDefault="005869B8" w:rsidP="001B3B76">
      <w:pPr>
        <w:jc w:val="both"/>
        <w:rPr>
          <w:rFonts w:ascii="Verdana" w:hAnsi="Verdana"/>
        </w:rPr>
      </w:pPr>
    </w:p>
    <w:p w14:paraId="19A5E3BF" w14:textId="1A8DAB28" w:rsidR="005869B8" w:rsidRPr="00D446D8" w:rsidRDefault="005869B8" w:rsidP="001B3B76">
      <w:pPr>
        <w:pStyle w:val="Prrafodelista"/>
        <w:jc w:val="both"/>
        <w:rPr>
          <w:rFonts w:ascii="Verdana" w:hAnsi="Verdana"/>
        </w:rPr>
      </w:pPr>
      <w:r w:rsidRPr="00D446D8">
        <w:rPr>
          <w:rFonts w:ascii="Verdana" w:hAnsi="Verdana"/>
        </w:rPr>
        <w:t xml:space="preserve">En este sentido, la aplicación plena del </w:t>
      </w:r>
      <w:r w:rsidR="00264650">
        <w:rPr>
          <w:rFonts w:ascii="Verdana" w:hAnsi="Verdana"/>
        </w:rPr>
        <w:t xml:space="preserve">Nuevo Marco Tarifario para Grandes Prestadores de Acueducto y </w:t>
      </w:r>
      <w:r w:rsidR="00EC3348">
        <w:rPr>
          <w:rFonts w:ascii="Verdana" w:hAnsi="Verdana"/>
        </w:rPr>
        <w:t>Alcantarillado</w:t>
      </w:r>
      <w:r w:rsidRPr="00D446D8">
        <w:rPr>
          <w:rFonts w:ascii="Verdana" w:hAnsi="Verdana"/>
        </w:rPr>
        <w:t xml:space="preserve"> se consolidará a partir del año 2028, permitiendo una transición gradual que evite la imposición de cargas regulatorias inmediatas y facilite la adaptación progresiva de los prestadores a los instrumentos de reporte y seguimiento. Por tanto, la regulación incorporó medidas de simplificación orientadas a facilitar la transición operativa. </w:t>
      </w:r>
    </w:p>
    <w:p w14:paraId="0C1EC406" w14:textId="77777777" w:rsidR="005869B8" w:rsidRPr="006152A0" w:rsidRDefault="005869B8" w:rsidP="001B3B76">
      <w:pPr>
        <w:jc w:val="both"/>
        <w:rPr>
          <w:rFonts w:ascii="Verdana" w:hAnsi="Verdana"/>
        </w:rPr>
      </w:pPr>
    </w:p>
    <w:p w14:paraId="1352BF0C" w14:textId="77777777" w:rsidR="005869B8" w:rsidRPr="000E573B" w:rsidRDefault="005869B8" w:rsidP="001B3B76">
      <w:pPr>
        <w:pStyle w:val="Prrafodelista"/>
        <w:numPr>
          <w:ilvl w:val="0"/>
          <w:numId w:val="5"/>
        </w:numPr>
        <w:autoSpaceDN/>
        <w:contextualSpacing/>
        <w:jc w:val="both"/>
        <w:textAlignment w:val="auto"/>
        <w:rPr>
          <w:rFonts w:ascii="Verdana" w:hAnsi="Verdana"/>
        </w:rPr>
      </w:pPr>
      <w:r w:rsidRPr="000E573B">
        <w:rPr>
          <w:rFonts w:ascii="Verdana" w:hAnsi="Verdana"/>
        </w:rPr>
        <w:t xml:space="preserve">Existencia de capacidades instaladas en los prestadores </w:t>
      </w:r>
    </w:p>
    <w:p w14:paraId="6877F0EB" w14:textId="77777777" w:rsidR="005869B8" w:rsidRDefault="005869B8" w:rsidP="001B3B76">
      <w:pPr>
        <w:jc w:val="both"/>
        <w:rPr>
          <w:rFonts w:ascii="Verdana" w:hAnsi="Verdana"/>
        </w:rPr>
      </w:pPr>
    </w:p>
    <w:p w14:paraId="5C626519" w14:textId="77777777" w:rsidR="005869B8" w:rsidRDefault="005869B8" w:rsidP="001B3B76">
      <w:pPr>
        <w:jc w:val="both"/>
        <w:rPr>
          <w:rFonts w:ascii="Verdana" w:hAnsi="Verdana"/>
        </w:rPr>
      </w:pPr>
      <w:r w:rsidRPr="006152A0">
        <w:rPr>
          <w:rFonts w:ascii="Verdana" w:hAnsi="Verdana"/>
        </w:rPr>
        <w:t xml:space="preserve">Técnicamente, el nuevo marco tarifario no parte de un escenario regulatorio inexistente, sino que se soporta en: </w:t>
      </w:r>
    </w:p>
    <w:p w14:paraId="45CD6858" w14:textId="77777777" w:rsidR="005869B8" w:rsidRPr="006152A0" w:rsidRDefault="005869B8" w:rsidP="001B3B76">
      <w:pPr>
        <w:jc w:val="both"/>
        <w:rPr>
          <w:rFonts w:ascii="Verdana" w:hAnsi="Verdana"/>
        </w:rPr>
      </w:pPr>
    </w:p>
    <w:p w14:paraId="7428BFE6" w14:textId="77777777" w:rsidR="005869B8" w:rsidRPr="00D446D8" w:rsidRDefault="005869B8" w:rsidP="001B3B76">
      <w:pPr>
        <w:pStyle w:val="Prrafodelista"/>
        <w:numPr>
          <w:ilvl w:val="0"/>
          <w:numId w:val="3"/>
        </w:numPr>
        <w:autoSpaceDN/>
        <w:contextualSpacing/>
        <w:jc w:val="both"/>
        <w:textAlignment w:val="auto"/>
        <w:rPr>
          <w:rFonts w:ascii="Verdana" w:hAnsi="Verdana"/>
        </w:rPr>
      </w:pPr>
      <w:r w:rsidRPr="00D446D8">
        <w:rPr>
          <w:rFonts w:ascii="Verdana" w:hAnsi="Verdana"/>
        </w:rPr>
        <w:t xml:space="preserve">Estructuras tarifarias previamente implementadas; </w:t>
      </w:r>
    </w:p>
    <w:p w14:paraId="5A56C2C7" w14:textId="77777777" w:rsidR="005869B8" w:rsidRPr="00D446D8" w:rsidRDefault="005869B8" w:rsidP="001B3B76">
      <w:pPr>
        <w:pStyle w:val="Prrafodelista"/>
        <w:numPr>
          <w:ilvl w:val="0"/>
          <w:numId w:val="3"/>
        </w:numPr>
        <w:autoSpaceDN/>
        <w:contextualSpacing/>
        <w:jc w:val="both"/>
        <w:textAlignment w:val="auto"/>
        <w:rPr>
          <w:rFonts w:ascii="Verdana" w:hAnsi="Verdana"/>
        </w:rPr>
      </w:pPr>
      <w:r w:rsidRPr="00D446D8">
        <w:rPr>
          <w:rFonts w:ascii="Verdana" w:hAnsi="Verdana"/>
        </w:rPr>
        <w:t xml:space="preserve">Sistemas de información ya existentes; </w:t>
      </w:r>
    </w:p>
    <w:p w14:paraId="4D7B3F9B" w14:textId="77777777" w:rsidR="005869B8" w:rsidRPr="00D446D8" w:rsidRDefault="005869B8" w:rsidP="001B3B76">
      <w:pPr>
        <w:pStyle w:val="Prrafodelista"/>
        <w:numPr>
          <w:ilvl w:val="0"/>
          <w:numId w:val="3"/>
        </w:numPr>
        <w:autoSpaceDN/>
        <w:contextualSpacing/>
        <w:jc w:val="both"/>
        <w:textAlignment w:val="auto"/>
        <w:rPr>
          <w:rFonts w:ascii="Verdana" w:hAnsi="Verdana"/>
        </w:rPr>
      </w:pPr>
      <w:r w:rsidRPr="00D446D8">
        <w:rPr>
          <w:rFonts w:ascii="Verdana" w:hAnsi="Verdana"/>
        </w:rPr>
        <w:t xml:space="preserve">Mecanismos de facturación consolidados; </w:t>
      </w:r>
    </w:p>
    <w:p w14:paraId="0C440C0E" w14:textId="77777777" w:rsidR="005869B8" w:rsidRPr="00D446D8" w:rsidRDefault="005869B8" w:rsidP="001B3B76">
      <w:pPr>
        <w:pStyle w:val="Prrafodelista"/>
        <w:numPr>
          <w:ilvl w:val="0"/>
          <w:numId w:val="3"/>
        </w:numPr>
        <w:autoSpaceDN/>
        <w:contextualSpacing/>
        <w:jc w:val="both"/>
        <w:textAlignment w:val="auto"/>
        <w:rPr>
          <w:rFonts w:ascii="Verdana" w:hAnsi="Verdana"/>
        </w:rPr>
      </w:pPr>
      <w:r w:rsidRPr="00D446D8">
        <w:rPr>
          <w:rFonts w:ascii="Verdana" w:hAnsi="Verdana"/>
        </w:rPr>
        <w:t xml:space="preserve">Experiencias regulatorias acumuladas por los grandes prestadores. </w:t>
      </w:r>
    </w:p>
    <w:p w14:paraId="298F3A65" w14:textId="77777777" w:rsidR="005869B8" w:rsidRPr="006152A0" w:rsidRDefault="005869B8" w:rsidP="001B3B76">
      <w:pPr>
        <w:jc w:val="both"/>
        <w:rPr>
          <w:rFonts w:ascii="Verdana" w:hAnsi="Verdana"/>
        </w:rPr>
      </w:pPr>
    </w:p>
    <w:p w14:paraId="76C00F34" w14:textId="77777777" w:rsidR="005869B8" w:rsidRDefault="005869B8" w:rsidP="001B3B76">
      <w:pPr>
        <w:jc w:val="both"/>
        <w:rPr>
          <w:rFonts w:ascii="Verdana" w:hAnsi="Verdana"/>
        </w:rPr>
      </w:pPr>
      <w:r w:rsidRPr="006152A0">
        <w:rPr>
          <w:rFonts w:ascii="Verdana" w:hAnsi="Verdana"/>
        </w:rPr>
        <w:t xml:space="preserve">En este sentido, los ajustes requeridos corresponden principalmente a: </w:t>
      </w:r>
    </w:p>
    <w:p w14:paraId="411427EA" w14:textId="77777777" w:rsidR="005869B8" w:rsidRPr="006152A0" w:rsidRDefault="005869B8" w:rsidP="001B3B76">
      <w:pPr>
        <w:jc w:val="both"/>
        <w:rPr>
          <w:rFonts w:ascii="Verdana" w:hAnsi="Verdana"/>
        </w:rPr>
      </w:pPr>
    </w:p>
    <w:p w14:paraId="3D4C16BF" w14:textId="77777777" w:rsidR="005869B8" w:rsidRPr="00D446D8" w:rsidRDefault="005869B8" w:rsidP="001B3B76">
      <w:pPr>
        <w:pStyle w:val="Prrafodelista"/>
        <w:numPr>
          <w:ilvl w:val="0"/>
          <w:numId w:val="4"/>
        </w:numPr>
        <w:autoSpaceDN/>
        <w:contextualSpacing/>
        <w:jc w:val="both"/>
        <w:textAlignment w:val="auto"/>
        <w:rPr>
          <w:rFonts w:ascii="Verdana" w:hAnsi="Verdana"/>
        </w:rPr>
      </w:pPr>
      <w:r w:rsidRPr="00D446D8">
        <w:rPr>
          <w:rFonts w:ascii="Verdana" w:hAnsi="Verdana"/>
        </w:rPr>
        <w:t xml:space="preserve">Actualización y desagregación de información; </w:t>
      </w:r>
    </w:p>
    <w:p w14:paraId="2B1175F4" w14:textId="77777777" w:rsidR="005869B8" w:rsidRPr="00D446D8" w:rsidRDefault="005869B8" w:rsidP="001B3B76">
      <w:pPr>
        <w:pStyle w:val="Prrafodelista"/>
        <w:numPr>
          <w:ilvl w:val="0"/>
          <w:numId w:val="4"/>
        </w:numPr>
        <w:autoSpaceDN/>
        <w:contextualSpacing/>
        <w:jc w:val="both"/>
        <w:textAlignment w:val="auto"/>
        <w:rPr>
          <w:rFonts w:ascii="Verdana" w:hAnsi="Verdana"/>
        </w:rPr>
      </w:pPr>
      <w:r w:rsidRPr="00D446D8">
        <w:rPr>
          <w:rFonts w:ascii="Verdana" w:hAnsi="Verdana"/>
        </w:rPr>
        <w:t xml:space="preserve">Adecuación de modelos tarifarios; </w:t>
      </w:r>
    </w:p>
    <w:p w14:paraId="57E6DFF1" w14:textId="77777777" w:rsidR="005869B8" w:rsidRPr="00D446D8" w:rsidRDefault="005869B8" w:rsidP="001B3B76">
      <w:pPr>
        <w:pStyle w:val="Prrafodelista"/>
        <w:numPr>
          <w:ilvl w:val="0"/>
          <w:numId w:val="4"/>
        </w:numPr>
        <w:autoSpaceDN/>
        <w:contextualSpacing/>
        <w:jc w:val="both"/>
        <w:textAlignment w:val="auto"/>
        <w:rPr>
          <w:rFonts w:ascii="Verdana" w:hAnsi="Verdana"/>
        </w:rPr>
      </w:pPr>
      <w:r w:rsidRPr="00D446D8">
        <w:rPr>
          <w:rFonts w:ascii="Verdana" w:hAnsi="Verdana"/>
        </w:rPr>
        <w:t xml:space="preserve">Armonización de costos e inversiones. </w:t>
      </w:r>
    </w:p>
    <w:p w14:paraId="4F29F345" w14:textId="77777777" w:rsidR="005869B8" w:rsidRPr="006152A0" w:rsidRDefault="005869B8" w:rsidP="001B3B76">
      <w:pPr>
        <w:jc w:val="both"/>
        <w:rPr>
          <w:rFonts w:ascii="Verdana" w:hAnsi="Verdana"/>
        </w:rPr>
      </w:pPr>
    </w:p>
    <w:p w14:paraId="17668C4A" w14:textId="77777777" w:rsidR="005869B8" w:rsidRDefault="005869B8" w:rsidP="001B3B76">
      <w:pPr>
        <w:jc w:val="both"/>
        <w:rPr>
          <w:rFonts w:ascii="Verdana" w:hAnsi="Verdana"/>
        </w:rPr>
      </w:pPr>
      <w:r w:rsidRPr="006152A0">
        <w:rPr>
          <w:rFonts w:ascii="Verdana" w:hAnsi="Verdana"/>
        </w:rPr>
        <w:t>La metodología no exige construir integralmente nuevos esquemas operativos desde cero.</w:t>
      </w:r>
    </w:p>
    <w:p w14:paraId="5420ADC7" w14:textId="77777777" w:rsidR="005869B8" w:rsidRPr="006152A0" w:rsidRDefault="005869B8" w:rsidP="001B3B76">
      <w:pPr>
        <w:jc w:val="both"/>
        <w:rPr>
          <w:rFonts w:ascii="Verdana" w:hAnsi="Verdana"/>
        </w:rPr>
      </w:pPr>
    </w:p>
    <w:p w14:paraId="04B77C4B" w14:textId="77777777" w:rsidR="005869B8" w:rsidRPr="000E573B" w:rsidRDefault="005869B8" w:rsidP="001B3B76">
      <w:pPr>
        <w:pStyle w:val="Prrafodelista"/>
        <w:numPr>
          <w:ilvl w:val="0"/>
          <w:numId w:val="5"/>
        </w:numPr>
        <w:autoSpaceDN/>
        <w:contextualSpacing/>
        <w:jc w:val="both"/>
        <w:textAlignment w:val="auto"/>
        <w:rPr>
          <w:rFonts w:ascii="Verdana" w:hAnsi="Verdana"/>
        </w:rPr>
      </w:pPr>
      <w:r w:rsidRPr="000E573B">
        <w:rPr>
          <w:rFonts w:ascii="Verdana" w:hAnsi="Verdana"/>
        </w:rPr>
        <w:t>Simplificaciones y continuidad del marco anterior</w:t>
      </w:r>
    </w:p>
    <w:p w14:paraId="0E280A4A" w14:textId="77777777" w:rsidR="005869B8" w:rsidRDefault="005869B8" w:rsidP="001B3B76">
      <w:pPr>
        <w:jc w:val="both"/>
        <w:rPr>
          <w:rFonts w:ascii="Verdana" w:hAnsi="Verdana"/>
        </w:rPr>
      </w:pPr>
    </w:p>
    <w:p w14:paraId="311F5F79" w14:textId="2A8D353B" w:rsidR="005869B8" w:rsidRDefault="005869B8" w:rsidP="001B3B76">
      <w:pPr>
        <w:jc w:val="both"/>
        <w:rPr>
          <w:rFonts w:ascii="Verdana" w:hAnsi="Verdana"/>
        </w:rPr>
      </w:pPr>
      <w:r w:rsidRPr="006152A0">
        <w:rPr>
          <w:rFonts w:ascii="Verdana" w:hAnsi="Verdana"/>
        </w:rPr>
        <w:t xml:space="preserve">En primer lugar, se consideró que, para el periodo de inicio, los prestadores deben calcular los costos medios de administración </w:t>
      </w:r>
      <w:r w:rsidR="005737C5">
        <w:rPr>
          <w:rFonts w:ascii="Verdana" w:hAnsi="Verdana"/>
        </w:rPr>
        <w:t xml:space="preserve">- </w:t>
      </w:r>
      <w:r w:rsidRPr="006152A0">
        <w:rPr>
          <w:rFonts w:ascii="Verdana" w:hAnsi="Verdana"/>
        </w:rPr>
        <w:t xml:space="preserve">CMA y los costos medios de operación </w:t>
      </w:r>
      <w:r w:rsidR="005737C5">
        <w:rPr>
          <w:rFonts w:ascii="Verdana" w:hAnsi="Verdana"/>
        </w:rPr>
        <w:t xml:space="preserve">- </w:t>
      </w:r>
      <w:r w:rsidRPr="006152A0">
        <w:rPr>
          <w:rFonts w:ascii="Verdana" w:hAnsi="Verdana"/>
        </w:rPr>
        <w:t xml:space="preserve">CMO utilizando información correspondiente al año 2024. En este sentido, al tratarse de información </w:t>
      </w:r>
      <w:r>
        <w:rPr>
          <w:rFonts w:ascii="Verdana" w:hAnsi="Verdana"/>
        </w:rPr>
        <w:t>de dos años atrás</w:t>
      </w:r>
      <w:r w:rsidRPr="006152A0">
        <w:rPr>
          <w:rFonts w:ascii="Verdana" w:hAnsi="Verdana"/>
        </w:rPr>
        <w:t>, se evaluó que dichos datos ya deb</w:t>
      </w:r>
      <w:r>
        <w:rPr>
          <w:rFonts w:ascii="Verdana" w:hAnsi="Verdana"/>
        </w:rPr>
        <w:t>ía</w:t>
      </w:r>
      <w:r w:rsidRPr="006152A0">
        <w:rPr>
          <w:rFonts w:ascii="Verdana" w:hAnsi="Verdana"/>
        </w:rPr>
        <w:t xml:space="preserve">n encontrarse reportados, validados y disponibles en el Sistema Único de Información </w:t>
      </w:r>
      <w:r w:rsidR="00064607">
        <w:rPr>
          <w:rFonts w:ascii="Verdana" w:hAnsi="Verdana"/>
        </w:rPr>
        <w:t xml:space="preserve">– </w:t>
      </w:r>
      <w:r w:rsidRPr="006152A0">
        <w:rPr>
          <w:rFonts w:ascii="Verdana" w:hAnsi="Verdana"/>
        </w:rPr>
        <w:t xml:space="preserve">SUI, lo que reduce significativamente la carga operativa asociada a la recolección y procesamiento de información para efectos del cálculo tarifario inicial. </w:t>
      </w:r>
    </w:p>
    <w:p w14:paraId="44609350" w14:textId="77777777" w:rsidR="00511E79" w:rsidRDefault="00511E79" w:rsidP="001B3B76">
      <w:pPr>
        <w:jc w:val="both"/>
        <w:rPr>
          <w:rFonts w:ascii="Verdana" w:hAnsi="Verdana"/>
        </w:rPr>
      </w:pPr>
    </w:p>
    <w:p w14:paraId="27D567EA" w14:textId="77777777" w:rsidR="005869B8" w:rsidRDefault="005869B8" w:rsidP="001B3B76">
      <w:pPr>
        <w:jc w:val="both"/>
        <w:rPr>
          <w:rFonts w:ascii="Verdana" w:hAnsi="Verdana"/>
        </w:rPr>
      </w:pPr>
      <w:r w:rsidRPr="006152A0">
        <w:rPr>
          <w:rFonts w:ascii="Verdana" w:hAnsi="Verdana"/>
        </w:rPr>
        <w:lastRenderedPageBreak/>
        <w:t xml:space="preserve">Asimismo, los conceptos de costos que se permite o no incluir dentro de estos componentes tarifarios mantienen de manera general los mismos criterios que el marco tarifario anterior, a diferencia que en este nuevo marco se hace una mayor desagregación. En consecuencia, hay un conocimiento previo de los rubros que hacen parte del cálculo tarifario. </w:t>
      </w:r>
    </w:p>
    <w:p w14:paraId="41005685" w14:textId="77777777" w:rsidR="005869B8" w:rsidRPr="006152A0" w:rsidRDefault="005869B8" w:rsidP="001B3B76">
      <w:pPr>
        <w:jc w:val="both"/>
        <w:rPr>
          <w:rFonts w:ascii="Verdana" w:hAnsi="Verdana"/>
        </w:rPr>
      </w:pPr>
    </w:p>
    <w:p w14:paraId="45041657" w14:textId="42F2542F" w:rsidR="005869B8" w:rsidRPr="006152A0" w:rsidRDefault="005869B8" w:rsidP="001B3B76">
      <w:pPr>
        <w:jc w:val="both"/>
        <w:rPr>
          <w:rFonts w:ascii="Verdana" w:hAnsi="Verdana"/>
        </w:rPr>
      </w:pPr>
      <w:r w:rsidRPr="006152A0">
        <w:rPr>
          <w:rFonts w:ascii="Verdana" w:hAnsi="Verdana"/>
        </w:rPr>
        <w:t xml:space="preserve">En segundo lugar, respecto del puntaje de eficiencia, se definió que durante el periodo de inicio este corresponda al cien por ciento (100%) para todos los prestadores, lo cual simplifica el cálculo del costo económico de referencia, en tanto no se requiere la aplicación de metodologías como los modelos de Análisis </w:t>
      </w:r>
      <w:r>
        <w:rPr>
          <w:rFonts w:ascii="Verdana" w:hAnsi="Verdana"/>
        </w:rPr>
        <w:t xml:space="preserve">de </w:t>
      </w:r>
      <w:r w:rsidRPr="006152A0">
        <w:rPr>
          <w:rFonts w:ascii="Verdana" w:hAnsi="Verdana"/>
        </w:rPr>
        <w:t xml:space="preserve">Envolvente de Datos </w:t>
      </w:r>
      <w:r w:rsidR="00E75BB9">
        <w:rPr>
          <w:rFonts w:ascii="Verdana" w:hAnsi="Verdana"/>
        </w:rPr>
        <w:t xml:space="preserve">- </w:t>
      </w:r>
      <w:r w:rsidRPr="006152A0">
        <w:rPr>
          <w:rFonts w:ascii="Verdana" w:hAnsi="Verdana"/>
        </w:rPr>
        <w:t xml:space="preserve">DEA en esta fase. Adicionalmente, se previó que la definición detallada de los puntajes de eficiencia aplicables a partir del primer año tarifario será objeto de un desarrollo regulatorio posterior mediante un proyecto de resolución independiente. </w:t>
      </w:r>
    </w:p>
    <w:p w14:paraId="48D9E245" w14:textId="77777777" w:rsidR="005869B8" w:rsidRDefault="005869B8" w:rsidP="001B3B76">
      <w:pPr>
        <w:jc w:val="both"/>
        <w:rPr>
          <w:rFonts w:ascii="Verdana" w:hAnsi="Verdana"/>
        </w:rPr>
      </w:pPr>
    </w:p>
    <w:p w14:paraId="69CA42A9" w14:textId="0FB0F2F2" w:rsidR="005869B8" w:rsidRDefault="005869B8" w:rsidP="001B3B76">
      <w:pPr>
        <w:jc w:val="both"/>
        <w:rPr>
          <w:rFonts w:ascii="Verdana" w:hAnsi="Verdana"/>
        </w:rPr>
      </w:pPr>
      <w:r w:rsidRPr="006152A0">
        <w:rPr>
          <w:rFonts w:ascii="Verdana" w:hAnsi="Verdana"/>
        </w:rPr>
        <w:t xml:space="preserve">En tercer lugar, para el cálculo de la Base de Capital Regulada inicial </w:t>
      </w:r>
      <w:r w:rsidR="00FF01BC">
        <w:rPr>
          <w:rFonts w:ascii="Verdana" w:hAnsi="Verdana"/>
        </w:rPr>
        <w:t xml:space="preserve">- </w:t>
      </w:r>
      <w:r w:rsidRPr="006152A0">
        <w:rPr>
          <w:rFonts w:ascii="Verdana" w:hAnsi="Verdana"/>
        </w:rPr>
        <w:t xml:space="preserve">BCR0, la Comisión analizó que los prestadores ya han realizado este ejercicio bajo el marco tarifario anterior contenido en la Resolución CRA 688 de 2014. Por lo tanto, no se exige la reconstrucción integral de la base de activos, sino una actualización, depuración y validación de la información previamente reportada, lo cual facilita el proceso de cálculo y reduce los tiempos requeridos. En línea con lo anterior, se definió que el valor de los activos administrativos y operativos corresponderá al registrado en los estados financieros, debidamente depreciado a 30 de junio de 2026, sin incluir valorizaciones, y actualizado a pesos de diciembre de 2025, lo que permite utilizar información contable disponible y verificable. </w:t>
      </w:r>
    </w:p>
    <w:p w14:paraId="0F6C462F" w14:textId="77777777" w:rsidR="005869B8" w:rsidRPr="006152A0" w:rsidRDefault="005869B8" w:rsidP="001B3B76">
      <w:pPr>
        <w:jc w:val="both"/>
        <w:rPr>
          <w:rFonts w:ascii="Verdana" w:hAnsi="Verdana"/>
        </w:rPr>
      </w:pPr>
    </w:p>
    <w:p w14:paraId="037B7F58" w14:textId="47CD250F" w:rsidR="00A97D28" w:rsidRDefault="005869B8" w:rsidP="001B3B76">
      <w:pPr>
        <w:pStyle w:val="Textoindependiente"/>
        <w:rPr>
          <w:b/>
          <w:sz w:val="20"/>
          <w:lang w:val="es-CO"/>
        </w:rPr>
      </w:pPr>
      <w:r w:rsidRPr="006152A0">
        <w:rPr>
          <w:rFonts w:ascii="Verdana" w:hAnsi="Verdana"/>
        </w:rPr>
        <w:t>De igual forma, la metodología contempla la posibilidad de utilizar proyecciones para estimar la BCR0 a dicha fecha, empleando la última información disponible de metros cúbicos facturados y aplicando criterios técnicos razonables. En todo caso, se exige que estos supuestos estén debidamente soportados y hagan parte integral del estudio de costos y tarifas, lo cual introduce flexibilidad sin afectar la trazabilidad y control de la información.</w:t>
      </w:r>
    </w:p>
    <w:p w14:paraId="33D0F690" w14:textId="77777777" w:rsidR="00A97D28" w:rsidRDefault="00D111CA" w:rsidP="001B3B76">
      <w:pPr>
        <w:pStyle w:val="Textoindependiente"/>
        <w:rPr>
          <w:sz w:val="20"/>
        </w:rPr>
      </w:pPr>
      <w:r>
        <w:rPr>
          <w:sz w:val="20"/>
        </w:rPr>
        <w:t> </w:t>
      </w:r>
    </w:p>
    <w:p w14:paraId="74B623C4" w14:textId="77777777" w:rsidR="008D6002" w:rsidRPr="000E573B" w:rsidRDefault="008D6002" w:rsidP="00511E79">
      <w:pPr>
        <w:pStyle w:val="Textoindependiente"/>
        <w:numPr>
          <w:ilvl w:val="0"/>
          <w:numId w:val="9"/>
        </w:numPr>
        <w:rPr>
          <w:rFonts w:ascii="Verdana" w:hAnsi="Verdana"/>
          <w:b/>
          <w:bCs/>
          <w:i/>
          <w:iCs/>
        </w:rPr>
      </w:pPr>
      <w:r w:rsidRPr="008D6002">
        <w:rPr>
          <w:rFonts w:ascii="Verdana" w:hAnsi="Verdana"/>
          <w:i/>
          <w:iCs/>
        </w:rPr>
        <w:t>Las razones y argumentos técnicos que justifiquen la segmentación correspondiente, en especial en los componentes del WACC e IPUF.</w:t>
      </w:r>
    </w:p>
    <w:p w14:paraId="0A87174F" w14:textId="77777777" w:rsidR="008D6002" w:rsidRPr="000E573B" w:rsidRDefault="008D6002" w:rsidP="001B3B76">
      <w:pPr>
        <w:jc w:val="both"/>
        <w:rPr>
          <w:rFonts w:ascii="Verdana" w:hAnsi="Verdana"/>
          <w:b/>
          <w:bCs/>
        </w:rPr>
      </w:pPr>
    </w:p>
    <w:p w14:paraId="7B95E3F9" w14:textId="131A061C" w:rsidR="008D6002" w:rsidRDefault="008D6002" w:rsidP="001B3B76">
      <w:pPr>
        <w:jc w:val="both"/>
        <w:rPr>
          <w:rFonts w:ascii="Verdana" w:hAnsi="Verdana"/>
        </w:rPr>
      </w:pPr>
      <w:r w:rsidRPr="00797947">
        <w:rPr>
          <w:rFonts w:ascii="Verdana" w:hAnsi="Verdana"/>
        </w:rPr>
        <w:t>Como resultado de las observaciones recibidas en el proceso de participación ciudadana</w:t>
      </w:r>
      <w:r w:rsidR="00DE5932">
        <w:rPr>
          <w:rStyle w:val="Refdenotaalpie"/>
          <w:rFonts w:ascii="Verdana" w:hAnsi="Verdana"/>
        </w:rPr>
        <w:footnoteReference w:id="1"/>
      </w:r>
      <w:r w:rsidR="00DE5932">
        <w:rPr>
          <w:rFonts w:ascii="Verdana" w:hAnsi="Verdana"/>
        </w:rPr>
        <w:t xml:space="preserve"> </w:t>
      </w:r>
      <w:r w:rsidRPr="00797947">
        <w:rPr>
          <w:rFonts w:ascii="Verdana" w:hAnsi="Verdana"/>
        </w:rPr>
        <w:t xml:space="preserve">relacionadas con actualizar el análisis de segmentación con información </w:t>
      </w:r>
      <w:r w:rsidRPr="00797947">
        <w:rPr>
          <w:rFonts w:ascii="Verdana" w:hAnsi="Verdana"/>
        </w:rPr>
        <w:lastRenderedPageBreak/>
        <w:t xml:space="preserve">real más reciente, </w:t>
      </w:r>
      <w:r>
        <w:rPr>
          <w:rFonts w:ascii="Verdana" w:hAnsi="Verdana"/>
        </w:rPr>
        <w:t xml:space="preserve">esta Unidad Administrativa </w:t>
      </w:r>
      <w:r w:rsidRPr="00797947">
        <w:rPr>
          <w:rFonts w:ascii="Verdana" w:hAnsi="Verdana"/>
        </w:rPr>
        <w:t>realizó un nuevo análisis estadístico de clúster</w:t>
      </w:r>
      <w:r>
        <w:rPr>
          <w:rFonts w:ascii="Verdana" w:hAnsi="Verdana"/>
        </w:rPr>
        <w:t xml:space="preserve"> con información de 2024. Dicho análisis</w:t>
      </w:r>
      <w:r w:rsidRPr="00797947">
        <w:rPr>
          <w:rFonts w:ascii="Verdana" w:hAnsi="Verdana"/>
        </w:rPr>
        <w:t xml:space="preserve"> permite evaluar las diferencias y las coincidencias entre los datos analizados, para poder fijar grupos de elementos lo más parecidos posible</w:t>
      </w:r>
      <w:r>
        <w:rPr>
          <w:rFonts w:ascii="Verdana" w:hAnsi="Verdana"/>
        </w:rPr>
        <w:t>; el resultado obtenido fue</w:t>
      </w:r>
      <w:r w:rsidRPr="00797947">
        <w:rPr>
          <w:rFonts w:ascii="Verdana" w:hAnsi="Verdana"/>
        </w:rPr>
        <w:t xml:space="preserve"> una nueva clasificación compuesta por cuatro (4) segmentos, tomando como criterio de clasificación la </w:t>
      </w:r>
      <w:r w:rsidRPr="001572ED">
        <w:rPr>
          <w:rFonts w:ascii="Verdana" w:hAnsi="Verdana"/>
        </w:rPr>
        <w:t xml:space="preserve">variable número de suscriptores. </w:t>
      </w:r>
    </w:p>
    <w:p w14:paraId="4057C317" w14:textId="77777777" w:rsidR="008D6002" w:rsidRPr="001572ED" w:rsidRDefault="008D6002" w:rsidP="001B3B76">
      <w:pPr>
        <w:jc w:val="both"/>
        <w:rPr>
          <w:rFonts w:ascii="Verdana" w:hAnsi="Verdana"/>
        </w:rPr>
      </w:pPr>
    </w:p>
    <w:p w14:paraId="01E4181C" w14:textId="77777777" w:rsidR="008D6002" w:rsidRDefault="008D6002" w:rsidP="001B3B76">
      <w:pPr>
        <w:jc w:val="both"/>
        <w:rPr>
          <w:rFonts w:ascii="Verdana" w:hAnsi="Verdana"/>
        </w:rPr>
      </w:pPr>
      <w:r w:rsidRPr="001572ED">
        <w:rPr>
          <w:rFonts w:ascii="Verdana" w:hAnsi="Verdana"/>
        </w:rPr>
        <w:t>E</w:t>
      </w:r>
      <w:r>
        <w:rPr>
          <w:rFonts w:ascii="Verdana" w:hAnsi="Verdana"/>
        </w:rPr>
        <w:t xml:space="preserve">s así como </w:t>
      </w:r>
      <w:r w:rsidRPr="001572ED">
        <w:rPr>
          <w:rFonts w:ascii="Verdana" w:hAnsi="Verdana"/>
        </w:rPr>
        <w:t xml:space="preserve">la agrupación de los prestadores según variables clave, permite diferenciar las realidades operativas de </w:t>
      </w:r>
      <w:r>
        <w:rPr>
          <w:rFonts w:ascii="Verdana" w:hAnsi="Verdana"/>
        </w:rPr>
        <w:t>estos</w:t>
      </w:r>
      <w:r w:rsidRPr="001572ED">
        <w:rPr>
          <w:rFonts w:ascii="Verdana" w:hAnsi="Verdana"/>
        </w:rPr>
        <w:t xml:space="preserve"> con el propósito de que el regulador pueda incorporar señales e incentivos que reconozcan los diversos </w:t>
      </w:r>
      <w:r>
        <w:rPr>
          <w:rFonts w:ascii="Verdana" w:hAnsi="Verdana"/>
        </w:rPr>
        <w:t>escenarios</w:t>
      </w:r>
      <w:r w:rsidRPr="001572ED">
        <w:rPr>
          <w:rFonts w:ascii="Verdana" w:hAnsi="Verdana"/>
        </w:rPr>
        <w:t xml:space="preserve"> de prestación, de tal modo que no se apliquen reglas uniformes que resulten excesivas para unos o</w:t>
      </w:r>
      <w:r>
        <w:rPr>
          <w:rFonts w:ascii="Verdana" w:hAnsi="Verdana"/>
        </w:rPr>
        <w:t>,</w:t>
      </w:r>
      <w:r w:rsidRPr="001572ED">
        <w:rPr>
          <w:rFonts w:ascii="Verdana" w:hAnsi="Verdana"/>
        </w:rPr>
        <w:t xml:space="preserve"> por el contrario, laxas para otros.</w:t>
      </w:r>
      <w:r>
        <w:rPr>
          <w:rFonts w:ascii="Verdana" w:hAnsi="Verdana"/>
        </w:rPr>
        <w:t xml:space="preserve"> Se trata de reconocer que la exigencia no puede ser igual para un prestador con limitaciones técnicas (o financieras) que para un prestador cuya estructura es robusta.</w:t>
      </w:r>
    </w:p>
    <w:p w14:paraId="267D99FA" w14:textId="77777777" w:rsidR="008D6002" w:rsidRPr="004E0463" w:rsidRDefault="008D6002" w:rsidP="001B3B76">
      <w:pPr>
        <w:jc w:val="both"/>
        <w:rPr>
          <w:rFonts w:ascii="Verdana" w:hAnsi="Verdana"/>
          <w:highlight w:val="yellow"/>
        </w:rPr>
      </w:pPr>
    </w:p>
    <w:p w14:paraId="3B88E151" w14:textId="77777777" w:rsidR="008D6002" w:rsidRDefault="008D6002" w:rsidP="001B3B76">
      <w:pPr>
        <w:jc w:val="both"/>
        <w:rPr>
          <w:rFonts w:ascii="Verdana" w:hAnsi="Verdana"/>
        </w:rPr>
      </w:pPr>
      <w:r w:rsidRPr="00266702">
        <w:rPr>
          <w:rFonts w:ascii="Verdana" w:hAnsi="Verdana"/>
        </w:rPr>
        <w:t>Por lo anterior, la segmentación se utilizó no solo en la definición de los estándares de prestación de los servicios (y en las metas para alcanzarlos), sino también en la tasa de remuneración del capital</w:t>
      </w:r>
      <w:r>
        <w:rPr>
          <w:rFonts w:ascii="Verdana" w:hAnsi="Verdana"/>
        </w:rPr>
        <w:t xml:space="preserve"> (o tasa de descuento)</w:t>
      </w:r>
      <w:r w:rsidRPr="00266702">
        <w:rPr>
          <w:rFonts w:ascii="Verdana" w:hAnsi="Verdana"/>
        </w:rPr>
        <w:t xml:space="preserve">, la tasa de capital de trabajo y el Índice de Pérdidas por Suscriptor Estándar – IPUF*. </w:t>
      </w:r>
    </w:p>
    <w:p w14:paraId="0D38B493" w14:textId="77777777" w:rsidR="008D6002" w:rsidRDefault="008D6002" w:rsidP="001B3B76">
      <w:pPr>
        <w:jc w:val="both"/>
        <w:rPr>
          <w:rFonts w:ascii="Verdana" w:hAnsi="Verdana"/>
        </w:rPr>
      </w:pPr>
    </w:p>
    <w:p w14:paraId="53741E34" w14:textId="77777777" w:rsidR="008D6002" w:rsidRDefault="008D6002" w:rsidP="001B3B76">
      <w:pPr>
        <w:jc w:val="both"/>
        <w:rPr>
          <w:rFonts w:ascii="Verdana" w:hAnsi="Verdana"/>
          <w:sz w:val="20"/>
          <w:szCs w:val="20"/>
        </w:rPr>
      </w:pPr>
      <w:r w:rsidRPr="00A27E80">
        <w:rPr>
          <w:rFonts w:ascii="Verdana" w:hAnsi="Verdana"/>
        </w:rPr>
        <w:t>Puntualmente, para el caso de la tasa de remuneración del capital se utilizó la metodología WACC (Costo Promedio Ponderado de Capital) y en ella se evidenció que existen diferencias significativas en lo que concierne al costo y la participación de la deuda entre las personas prestadoras del segmento 1 y los demás segmentos</w:t>
      </w:r>
      <w:r>
        <w:rPr>
          <w:rFonts w:ascii="Verdana" w:hAnsi="Verdana"/>
        </w:rPr>
        <w:t>;</w:t>
      </w:r>
      <w:r w:rsidRPr="00A27E80">
        <w:rPr>
          <w:rFonts w:ascii="Verdana" w:hAnsi="Verdana"/>
        </w:rPr>
        <w:t xml:space="preserve"> </w:t>
      </w:r>
      <w:r>
        <w:rPr>
          <w:rFonts w:ascii="Verdana" w:hAnsi="Verdana"/>
        </w:rPr>
        <w:t xml:space="preserve">las personas prestadoras con mayor poder de negociación frente a las entidades de crédito obtienen mejores tasas de interés que aquellas con menores capacidades. En consecuencia, </w:t>
      </w:r>
      <w:r w:rsidRPr="00A27E80">
        <w:rPr>
          <w:rFonts w:ascii="Verdana" w:hAnsi="Verdana"/>
        </w:rPr>
        <w:t xml:space="preserve">se asignó una tasa de remuneración </w:t>
      </w:r>
      <w:r>
        <w:rPr>
          <w:rFonts w:ascii="Verdana" w:hAnsi="Verdana"/>
        </w:rPr>
        <w:t xml:space="preserve">del capital, </w:t>
      </w:r>
      <w:r w:rsidRPr="00A27E80">
        <w:rPr>
          <w:rFonts w:ascii="Verdana" w:hAnsi="Verdana"/>
        </w:rPr>
        <w:t>distinta para los dos primeros segmentos y otra para los segmentos 3 y 4, cuya estructura de capital es similar.</w:t>
      </w:r>
    </w:p>
    <w:p w14:paraId="28B79093" w14:textId="77777777" w:rsidR="008D6002" w:rsidRPr="00D446D8" w:rsidRDefault="008D6002" w:rsidP="001B3B76">
      <w:pPr>
        <w:jc w:val="both"/>
        <w:rPr>
          <w:rFonts w:ascii="Verdana" w:hAnsi="Verdana"/>
          <w:sz w:val="20"/>
          <w:szCs w:val="20"/>
        </w:rPr>
      </w:pPr>
    </w:p>
    <w:p w14:paraId="25322F85" w14:textId="77777777" w:rsidR="008D6002" w:rsidRDefault="008D6002" w:rsidP="001B3B76">
      <w:pPr>
        <w:jc w:val="both"/>
        <w:rPr>
          <w:rFonts w:ascii="Verdana" w:hAnsi="Verdana"/>
        </w:rPr>
      </w:pPr>
      <w:r>
        <w:rPr>
          <w:rFonts w:ascii="Verdana" w:hAnsi="Verdana"/>
        </w:rPr>
        <w:t xml:space="preserve">En el mismo sentido, para la definición del IPUF* se tuvo en cuenta la capacidad de gestión de pérdidas de los prestadores, así como de inversiones orientadas a mejorar el indicador, lo que mostró mejores resultados para los prestadores de los segmentos 1 y 2, es decir, o alcanzaron en el estándar del marco tarifario anterior o, aunque no lo alcanzaron, el valor de las pérdidas se redujo. Por ende, en la estimación del indicador en comento los resultados también condujeron a ser más flexibles con los prestadores de los segmentos 3 y 4. </w:t>
      </w:r>
    </w:p>
    <w:p w14:paraId="1155CC2C" w14:textId="77777777" w:rsidR="008D6002" w:rsidRDefault="008D6002" w:rsidP="001B3B76">
      <w:pPr>
        <w:jc w:val="both"/>
        <w:rPr>
          <w:rFonts w:ascii="Verdana" w:hAnsi="Verdana"/>
        </w:rPr>
      </w:pPr>
    </w:p>
    <w:p w14:paraId="23867912" w14:textId="77777777" w:rsidR="008D6002" w:rsidRDefault="008D6002" w:rsidP="001B3B76">
      <w:pPr>
        <w:jc w:val="both"/>
        <w:rPr>
          <w:rFonts w:ascii="Verdana" w:hAnsi="Verdana"/>
        </w:rPr>
      </w:pPr>
      <w:r>
        <w:rPr>
          <w:rFonts w:ascii="Verdana" w:hAnsi="Verdana"/>
        </w:rPr>
        <w:t xml:space="preserve">Así las cosas, el propósito de la segmentación y su consideración en la estimación de variables y parámetros dentro del marco tarifario, obedece a la propia naturaleza de </w:t>
      </w:r>
      <w:r>
        <w:rPr>
          <w:rFonts w:ascii="Verdana" w:hAnsi="Verdana"/>
        </w:rPr>
        <w:lastRenderedPageBreak/>
        <w:t xml:space="preserve">los prestadores de los servicios públicos de acueducto y alcantarillado, cuyas capacidades financieras, administrativas y técnicas difieren entre sí. </w:t>
      </w:r>
    </w:p>
    <w:p w14:paraId="78DF6D25" w14:textId="77777777" w:rsidR="008D6002" w:rsidRPr="000E573B" w:rsidRDefault="008D6002" w:rsidP="001B3B76">
      <w:pPr>
        <w:jc w:val="both"/>
        <w:rPr>
          <w:rFonts w:ascii="Verdana" w:hAnsi="Verdana"/>
          <w:b/>
          <w:bCs/>
          <w:i/>
          <w:iCs/>
        </w:rPr>
      </w:pPr>
    </w:p>
    <w:p w14:paraId="2E6B1AD4" w14:textId="77777777" w:rsidR="008D6002" w:rsidRPr="00EF0DE4" w:rsidRDefault="008D6002" w:rsidP="00536CC7">
      <w:pPr>
        <w:pStyle w:val="Textoindependiente"/>
        <w:numPr>
          <w:ilvl w:val="0"/>
          <w:numId w:val="9"/>
        </w:numPr>
        <w:rPr>
          <w:rFonts w:ascii="Verdana" w:hAnsi="Verdana"/>
          <w:i/>
          <w:iCs/>
        </w:rPr>
      </w:pPr>
      <w:r w:rsidRPr="00EF0DE4">
        <w:rPr>
          <w:rFonts w:ascii="Verdana" w:hAnsi="Verdana"/>
          <w:i/>
          <w:iCs/>
        </w:rPr>
        <w:t>Determinar los cambios realizados en el proyecto una vez finalizada la participación ciudadana.</w:t>
      </w:r>
    </w:p>
    <w:p w14:paraId="5DF1108E" w14:textId="77777777" w:rsidR="008D6002" w:rsidRDefault="008D6002" w:rsidP="001B3B76">
      <w:pPr>
        <w:jc w:val="both"/>
        <w:rPr>
          <w:rFonts w:ascii="Verdana" w:hAnsi="Verdana"/>
        </w:rPr>
      </w:pPr>
    </w:p>
    <w:p w14:paraId="0414F3C0" w14:textId="00E47B2A" w:rsidR="008D6002" w:rsidRPr="00EF0DE4" w:rsidRDefault="008D6002" w:rsidP="001B3B76">
      <w:pPr>
        <w:jc w:val="both"/>
        <w:rPr>
          <w:rFonts w:ascii="Verdana" w:hAnsi="Verdana"/>
        </w:rPr>
      </w:pPr>
      <w:r w:rsidRPr="00EF0DE4">
        <w:rPr>
          <w:rFonts w:ascii="Verdana" w:hAnsi="Verdana"/>
        </w:rPr>
        <w:t>A continuación, se presentan los cambios introducidos en virtud de las observaciones recibidas en la participación ciudadana del proyecto de Nuevo Marco Tarifario para grandes prestadores</w:t>
      </w:r>
      <w:r w:rsidR="00536CC7">
        <w:rPr>
          <w:rFonts w:ascii="Verdana" w:hAnsi="Verdana"/>
        </w:rPr>
        <w:t xml:space="preserve"> de acueducto y alcantarillado</w:t>
      </w:r>
      <w:r w:rsidRPr="00EF0DE4">
        <w:rPr>
          <w:rFonts w:ascii="Verdana" w:hAnsi="Verdana"/>
        </w:rPr>
        <w:t>:</w:t>
      </w:r>
    </w:p>
    <w:p w14:paraId="32D7D043" w14:textId="77777777" w:rsidR="008D6002" w:rsidRPr="00EF0DE4" w:rsidRDefault="008D6002" w:rsidP="001B3B76">
      <w:pPr>
        <w:jc w:val="both"/>
        <w:rPr>
          <w:rFonts w:ascii="Verdana" w:hAnsi="Verdana"/>
        </w:rPr>
      </w:pPr>
    </w:p>
    <w:p w14:paraId="1C5D6712" w14:textId="6E91A28A" w:rsidR="008D6002" w:rsidRPr="00EF0DE4" w:rsidRDefault="008D6002" w:rsidP="001B3B76">
      <w:pPr>
        <w:pStyle w:val="Prrafodelista"/>
        <w:numPr>
          <w:ilvl w:val="0"/>
          <w:numId w:val="8"/>
        </w:numPr>
        <w:autoSpaceDN/>
        <w:contextualSpacing/>
        <w:jc w:val="both"/>
        <w:textAlignment w:val="auto"/>
        <w:rPr>
          <w:rFonts w:ascii="Verdana" w:hAnsi="Verdana"/>
        </w:rPr>
      </w:pPr>
      <w:r w:rsidRPr="00EF0DE4">
        <w:rPr>
          <w:rFonts w:ascii="Verdana" w:hAnsi="Verdana"/>
        </w:rPr>
        <w:t>Segmentación: Con base en la nueva información reportada para el año 2024, se actualizó la segmentación de los prestadores; se modificó el criterio inicialmente propuesto, centrado en los costos administrativos y operativos, por un criterio basado en el número de suscriptores, buscando una mayor estabilidad, representatividad y comparabilidad entre prestadores.</w:t>
      </w:r>
      <w:r w:rsidR="00EF0DE4">
        <w:rPr>
          <w:rFonts w:ascii="Verdana" w:hAnsi="Verdana"/>
        </w:rPr>
        <w:t xml:space="preserve"> Lo anterior llevó a que se ajustara </w:t>
      </w:r>
      <w:r w:rsidR="00EF0DE4" w:rsidRPr="00EF0DE4">
        <w:rPr>
          <w:rFonts w:ascii="Verdana" w:hAnsi="Verdana"/>
        </w:rPr>
        <w:t>el artículo 2.1.2.1.1.6. de la Resolución CRA 943 de 2021, incorporado por la Resolución CRA 1032 de 2026</w:t>
      </w:r>
      <w:r w:rsidR="00EF0DE4">
        <w:rPr>
          <w:rFonts w:ascii="Verdana" w:hAnsi="Verdana"/>
        </w:rPr>
        <w:t>.</w:t>
      </w:r>
    </w:p>
    <w:p w14:paraId="4647D104" w14:textId="77777777" w:rsidR="008D6002" w:rsidRPr="00EF0DE4" w:rsidRDefault="008D6002" w:rsidP="001B3B76">
      <w:pPr>
        <w:pStyle w:val="Prrafodelista"/>
        <w:jc w:val="both"/>
        <w:rPr>
          <w:rFonts w:ascii="Verdana" w:hAnsi="Verdana"/>
        </w:rPr>
      </w:pPr>
    </w:p>
    <w:p w14:paraId="4C2A5820" w14:textId="05C35474" w:rsidR="008D6002" w:rsidRPr="00EF0DE4" w:rsidRDefault="008D6002" w:rsidP="001B3B76">
      <w:pPr>
        <w:pStyle w:val="Prrafodelista"/>
        <w:numPr>
          <w:ilvl w:val="0"/>
          <w:numId w:val="8"/>
        </w:numPr>
        <w:autoSpaceDN/>
        <w:contextualSpacing/>
        <w:jc w:val="both"/>
        <w:textAlignment w:val="auto"/>
        <w:rPr>
          <w:rFonts w:ascii="Verdana" w:hAnsi="Verdana"/>
        </w:rPr>
      </w:pPr>
      <w:r w:rsidRPr="00EF0DE4">
        <w:rPr>
          <w:rFonts w:ascii="Verdana" w:hAnsi="Verdana"/>
        </w:rPr>
        <w:t>APS con condiciones especiales: se incluyeron aquellos municipios PDET (Programas de Desarrollo con Enfoque Territorial) y ZOMAC (Zonas Más Afectadas por el Conflicto Armado) y las APS con hasta 5.000 suscriptores.</w:t>
      </w:r>
      <w:r w:rsidR="005F5D2B">
        <w:rPr>
          <w:rFonts w:ascii="Verdana" w:hAnsi="Verdana"/>
        </w:rPr>
        <w:t xml:space="preserve"> Lo anterior se materializó </w:t>
      </w:r>
      <w:r w:rsidR="00FC1C95">
        <w:rPr>
          <w:rFonts w:ascii="Verdana" w:hAnsi="Verdana"/>
        </w:rPr>
        <w:t>en</w:t>
      </w:r>
      <w:r w:rsidR="005F5D2B">
        <w:rPr>
          <w:rFonts w:ascii="Verdana" w:hAnsi="Verdana"/>
        </w:rPr>
        <w:t xml:space="preserve"> la modificación del </w:t>
      </w:r>
      <w:r w:rsidR="005F5D2B" w:rsidRPr="00EF0DE4">
        <w:rPr>
          <w:rFonts w:ascii="Verdana" w:hAnsi="Verdana"/>
        </w:rPr>
        <w:t>artículo 2.1.2.1.1.7. de la resolución ibidem</w:t>
      </w:r>
      <w:r w:rsidR="005F5D2B">
        <w:rPr>
          <w:rFonts w:ascii="Verdana" w:hAnsi="Verdana"/>
        </w:rPr>
        <w:t>.</w:t>
      </w:r>
    </w:p>
    <w:p w14:paraId="0F839D05" w14:textId="77777777" w:rsidR="008D6002" w:rsidRPr="00EF0DE4" w:rsidRDefault="008D6002" w:rsidP="001B3B76">
      <w:pPr>
        <w:pStyle w:val="Prrafodelista"/>
        <w:jc w:val="both"/>
        <w:rPr>
          <w:rFonts w:ascii="Verdana" w:hAnsi="Verdana"/>
        </w:rPr>
      </w:pPr>
    </w:p>
    <w:p w14:paraId="472B70AE" w14:textId="471BCFE6" w:rsidR="008D6002" w:rsidRPr="00EF0DE4" w:rsidRDefault="008D6002" w:rsidP="001B3B76">
      <w:pPr>
        <w:pStyle w:val="Prrafodelista"/>
        <w:numPr>
          <w:ilvl w:val="0"/>
          <w:numId w:val="8"/>
        </w:numPr>
        <w:autoSpaceDN/>
        <w:contextualSpacing/>
        <w:jc w:val="both"/>
        <w:textAlignment w:val="auto"/>
        <w:rPr>
          <w:rFonts w:ascii="Verdana" w:hAnsi="Verdana"/>
        </w:rPr>
      </w:pPr>
      <w:r w:rsidRPr="00EF0DE4">
        <w:rPr>
          <w:rFonts w:ascii="Verdana" w:hAnsi="Verdana"/>
        </w:rPr>
        <w:t>Recálculo anual: se condicionó el recálculo anual de los costos administrativos y operativos comparables al cumplimiento de las metas de cobertura y del Nivel de Satisfacción del Usuario - NSU.</w:t>
      </w:r>
      <w:r w:rsidR="00DF25B9">
        <w:rPr>
          <w:rFonts w:ascii="Verdana" w:hAnsi="Verdana"/>
        </w:rPr>
        <w:t xml:space="preserve"> Lo anterior requirió ajustar </w:t>
      </w:r>
      <w:r w:rsidR="00DF25B9" w:rsidRPr="00EF0DE4">
        <w:rPr>
          <w:rFonts w:ascii="Verdana" w:hAnsi="Verdana"/>
        </w:rPr>
        <w:t>los artículos 2.1.2.1.3.2.1. y 2.1.2.1.3.4.3. de la resolución ibidem</w:t>
      </w:r>
      <w:r w:rsidR="00DF25B9">
        <w:rPr>
          <w:rFonts w:ascii="Verdana" w:hAnsi="Verdana"/>
        </w:rPr>
        <w:t xml:space="preserve">. </w:t>
      </w:r>
      <w:r w:rsidRPr="00EF0DE4">
        <w:rPr>
          <w:rFonts w:ascii="Verdana" w:hAnsi="Verdana"/>
        </w:rPr>
        <w:t xml:space="preserve"> </w:t>
      </w:r>
    </w:p>
    <w:p w14:paraId="688E8EF6" w14:textId="77777777" w:rsidR="008D6002" w:rsidRPr="00EF0DE4" w:rsidRDefault="008D6002" w:rsidP="001B3B76">
      <w:pPr>
        <w:jc w:val="both"/>
        <w:rPr>
          <w:rFonts w:ascii="Verdana" w:hAnsi="Verdana"/>
        </w:rPr>
      </w:pPr>
    </w:p>
    <w:p w14:paraId="400F65B5" w14:textId="3E43DB3D" w:rsidR="008D6002" w:rsidRPr="00EF0DE4" w:rsidRDefault="008D6002" w:rsidP="001B3B76">
      <w:pPr>
        <w:pStyle w:val="Prrafodelista"/>
        <w:numPr>
          <w:ilvl w:val="0"/>
          <w:numId w:val="8"/>
        </w:numPr>
        <w:autoSpaceDN/>
        <w:contextualSpacing/>
        <w:jc w:val="both"/>
        <w:textAlignment w:val="auto"/>
        <w:rPr>
          <w:rFonts w:ascii="Verdana" w:hAnsi="Verdana"/>
        </w:rPr>
      </w:pPr>
      <w:r w:rsidRPr="00EF0DE4">
        <w:rPr>
          <w:rFonts w:ascii="Verdana" w:hAnsi="Verdana"/>
        </w:rPr>
        <w:t xml:space="preserve">Valor recuperado del Costo Medio de Inversión </w:t>
      </w:r>
      <w:r w:rsidR="001301E9">
        <w:rPr>
          <w:rFonts w:ascii="Verdana" w:hAnsi="Verdana"/>
        </w:rPr>
        <w:t xml:space="preserve">- </w:t>
      </w:r>
      <w:r w:rsidRPr="00EF0DE4">
        <w:rPr>
          <w:rFonts w:ascii="Verdana" w:hAnsi="Verdana"/>
        </w:rPr>
        <w:t>CMI para estimar la Base de Capital Regulada inicial</w:t>
      </w:r>
      <w:r w:rsidR="00FC1C95">
        <w:rPr>
          <w:rFonts w:ascii="Verdana" w:hAnsi="Verdana"/>
        </w:rPr>
        <w:t xml:space="preserve"> </w:t>
      </w:r>
      <w:r w:rsidR="00C6752E">
        <w:rPr>
          <w:rFonts w:ascii="Verdana" w:hAnsi="Verdana"/>
        </w:rPr>
        <w:t>-</w:t>
      </w:r>
      <w:r w:rsidR="00FC1C95">
        <w:rPr>
          <w:rFonts w:ascii="Verdana" w:hAnsi="Verdana"/>
        </w:rPr>
        <w:t xml:space="preserve"> BCR0</w:t>
      </w:r>
      <w:r w:rsidRPr="00EF0DE4">
        <w:rPr>
          <w:rFonts w:ascii="Verdana" w:hAnsi="Verdana"/>
        </w:rPr>
        <w:t>: se decidió mantener el criterio empleado en la Resolución CRA 688 de 2014, utilizando el consumo facturado, garantizando consistencia regulatoria y estabilidad en las señales económicas.</w:t>
      </w:r>
      <w:r w:rsidR="002526B4">
        <w:rPr>
          <w:rFonts w:ascii="Verdana" w:hAnsi="Verdana"/>
        </w:rPr>
        <w:t xml:space="preserve"> De allí que se ajustara </w:t>
      </w:r>
      <w:r w:rsidR="002526B4" w:rsidRPr="00EF0DE4">
        <w:rPr>
          <w:rFonts w:ascii="Verdana" w:hAnsi="Verdana"/>
        </w:rPr>
        <w:t>el artículo 2.1.2.1.3.5.5. de la resolución ibidem</w:t>
      </w:r>
      <w:r w:rsidR="002526B4">
        <w:rPr>
          <w:rFonts w:ascii="Verdana" w:hAnsi="Verdana"/>
        </w:rPr>
        <w:t>.</w:t>
      </w:r>
    </w:p>
    <w:p w14:paraId="29BDB1A3" w14:textId="77777777" w:rsidR="008D6002" w:rsidRPr="00EF0DE4" w:rsidRDefault="008D6002" w:rsidP="001B3B76">
      <w:pPr>
        <w:jc w:val="both"/>
        <w:rPr>
          <w:rFonts w:ascii="Verdana" w:hAnsi="Verdana"/>
        </w:rPr>
      </w:pPr>
    </w:p>
    <w:p w14:paraId="6D548EBB" w14:textId="20CC800D" w:rsidR="008D6002" w:rsidRPr="00EF0DE4" w:rsidRDefault="008D6002" w:rsidP="001B3B76">
      <w:pPr>
        <w:pStyle w:val="Prrafodelista"/>
        <w:numPr>
          <w:ilvl w:val="0"/>
          <w:numId w:val="8"/>
        </w:numPr>
        <w:autoSpaceDN/>
        <w:contextualSpacing/>
        <w:jc w:val="both"/>
        <w:textAlignment w:val="auto"/>
        <w:rPr>
          <w:rFonts w:ascii="Verdana" w:hAnsi="Verdana"/>
        </w:rPr>
      </w:pPr>
      <w:r w:rsidRPr="00EF0DE4">
        <w:rPr>
          <w:rFonts w:ascii="Verdana" w:hAnsi="Verdana"/>
        </w:rPr>
        <w:t xml:space="preserve">Diferencias negativas entre el Plan de Obras e Inversiones Regulado </w:t>
      </w:r>
      <w:r w:rsidR="001301E9">
        <w:rPr>
          <w:rFonts w:ascii="Verdana" w:hAnsi="Verdana"/>
        </w:rPr>
        <w:t xml:space="preserve">- </w:t>
      </w:r>
      <w:r w:rsidRPr="00EF0DE4">
        <w:rPr>
          <w:rFonts w:ascii="Verdana" w:hAnsi="Verdana"/>
        </w:rPr>
        <w:t xml:space="preserve">POIR planeado y ejecutado: se determinó que los prestadores que registren diferencias negativas entre el POIR planeado y el ejecutado, deberán descontar tal valor de la BCR0, es decir, no deberán hacer devoluciones, como se había </w:t>
      </w:r>
      <w:r w:rsidRPr="00EF0DE4">
        <w:rPr>
          <w:rFonts w:ascii="Verdana" w:hAnsi="Verdana"/>
        </w:rPr>
        <w:lastRenderedPageBreak/>
        <w:t>propuesto inicialmente.</w:t>
      </w:r>
      <w:r w:rsidR="005D1F88">
        <w:rPr>
          <w:rFonts w:ascii="Verdana" w:hAnsi="Verdana"/>
        </w:rPr>
        <w:t xml:space="preserve"> Por lo anterior, se modificó </w:t>
      </w:r>
      <w:r w:rsidR="005D1F88" w:rsidRPr="00EF0DE4">
        <w:rPr>
          <w:rFonts w:ascii="Verdana" w:hAnsi="Verdana"/>
        </w:rPr>
        <w:t>el artículo 2.1.2.1.5.2.1.1. de la resolución ibidem</w:t>
      </w:r>
      <w:r w:rsidR="005D1F88">
        <w:rPr>
          <w:rFonts w:ascii="Verdana" w:hAnsi="Verdana"/>
        </w:rPr>
        <w:t>.</w:t>
      </w:r>
    </w:p>
    <w:p w14:paraId="5FF497F0" w14:textId="77777777" w:rsidR="008D6002" w:rsidRPr="00EF0DE4" w:rsidRDefault="008D6002" w:rsidP="001B3B76">
      <w:pPr>
        <w:pStyle w:val="Prrafodelista"/>
        <w:rPr>
          <w:rFonts w:ascii="Verdana" w:hAnsi="Verdana"/>
        </w:rPr>
      </w:pPr>
    </w:p>
    <w:p w14:paraId="4575C3B4" w14:textId="0E7065CC" w:rsidR="008D6002" w:rsidRPr="00EF0DE4" w:rsidRDefault="008D6002" w:rsidP="001B3B76">
      <w:pPr>
        <w:pStyle w:val="Prrafodelista"/>
        <w:numPr>
          <w:ilvl w:val="0"/>
          <w:numId w:val="8"/>
        </w:numPr>
        <w:autoSpaceDN/>
        <w:contextualSpacing/>
        <w:jc w:val="both"/>
        <w:textAlignment w:val="auto"/>
        <w:rPr>
          <w:rFonts w:ascii="Verdana" w:hAnsi="Verdana"/>
        </w:rPr>
      </w:pPr>
      <w:r w:rsidRPr="00EF0DE4">
        <w:rPr>
          <w:rFonts w:ascii="Verdana" w:hAnsi="Verdana"/>
        </w:rPr>
        <w:t xml:space="preserve">Incorporación </w:t>
      </w:r>
      <w:r w:rsidR="00E76999">
        <w:rPr>
          <w:rFonts w:ascii="Verdana" w:hAnsi="Verdana"/>
        </w:rPr>
        <w:t xml:space="preserve">optativa </w:t>
      </w:r>
      <w:r w:rsidRPr="00EF0DE4">
        <w:rPr>
          <w:rFonts w:ascii="Verdana" w:hAnsi="Verdana"/>
        </w:rPr>
        <w:t xml:space="preserve">del POIR condicionada: se permitió la inclusión del POIR en el CMI de manera optativa, condicionado al cumplimiento del 80% de ejecución del POIR </w:t>
      </w:r>
      <w:r w:rsidR="008F2D12">
        <w:rPr>
          <w:rFonts w:ascii="Verdana" w:hAnsi="Verdana"/>
        </w:rPr>
        <w:t xml:space="preserve">definido en el marco tarifario anterior, </w:t>
      </w:r>
      <w:r w:rsidRPr="00EF0DE4">
        <w:rPr>
          <w:rFonts w:ascii="Verdana" w:hAnsi="Verdana"/>
        </w:rPr>
        <w:t>para el servicio en que se pretende incluir el mismo, dado que el POIR se definió por servicio.</w:t>
      </w:r>
      <w:r w:rsidR="00CC290A">
        <w:rPr>
          <w:rFonts w:ascii="Verdana" w:hAnsi="Verdana"/>
        </w:rPr>
        <w:t xml:space="preserve"> En consecuencia, </w:t>
      </w:r>
      <w:r w:rsidR="00CC290A" w:rsidRPr="00EF0DE4">
        <w:rPr>
          <w:rFonts w:ascii="Verdana" w:hAnsi="Verdana"/>
        </w:rPr>
        <w:t>se incluyó el artículo 2.1.2.1.3.5.14. a la Resolución CRA 943 de 2021, en virtud de la Resolución CRA 1032 de 2026 y se modificó el artículo 2.1.2.1.3.5.1 de la misma norma</w:t>
      </w:r>
      <w:r w:rsidR="00CC290A">
        <w:rPr>
          <w:rFonts w:ascii="Verdana" w:hAnsi="Verdana"/>
        </w:rPr>
        <w:t>.</w:t>
      </w:r>
    </w:p>
    <w:p w14:paraId="51E1B159" w14:textId="77777777" w:rsidR="008D6002" w:rsidRPr="00CC290A" w:rsidRDefault="008D6002" w:rsidP="001B3B76">
      <w:pPr>
        <w:jc w:val="both"/>
        <w:rPr>
          <w:rFonts w:ascii="Verdana" w:hAnsi="Verdana"/>
          <w:lang w:val="es-CO"/>
        </w:rPr>
      </w:pPr>
    </w:p>
    <w:p w14:paraId="5A5D7ED1" w14:textId="6F9FFFF2" w:rsidR="008D6002" w:rsidRPr="00EF0DE4" w:rsidRDefault="008D6002" w:rsidP="001B3B76">
      <w:pPr>
        <w:pStyle w:val="Prrafodelista"/>
        <w:numPr>
          <w:ilvl w:val="0"/>
          <w:numId w:val="8"/>
        </w:numPr>
        <w:autoSpaceDN/>
        <w:contextualSpacing/>
        <w:jc w:val="both"/>
        <w:textAlignment w:val="auto"/>
        <w:rPr>
          <w:rFonts w:ascii="Verdana" w:hAnsi="Verdana"/>
        </w:rPr>
      </w:pPr>
      <w:r w:rsidRPr="00EF0DE4">
        <w:rPr>
          <w:rFonts w:ascii="Verdana" w:hAnsi="Verdana"/>
        </w:rPr>
        <w:t>Cálculo del WACC: en atención a la solicitud de emplear información más reciente para el cálculo del WACC, se utilizó una serie de cinco años que incorporó información de 2024.</w:t>
      </w:r>
      <w:r w:rsidR="00CC290A">
        <w:rPr>
          <w:rFonts w:ascii="Verdana" w:hAnsi="Verdana"/>
        </w:rPr>
        <w:t xml:space="preserve"> Lo anterior, requirió ajustar </w:t>
      </w:r>
      <w:r w:rsidR="00CC290A" w:rsidRPr="00EF0DE4">
        <w:rPr>
          <w:rFonts w:ascii="Verdana" w:hAnsi="Verdana"/>
        </w:rPr>
        <w:t>el artículo 2.1.2.1.3.1.7 de la resolución ibidem</w:t>
      </w:r>
      <w:r w:rsidR="00CC290A">
        <w:rPr>
          <w:rFonts w:ascii="Verdana" w:hAnsi="Verdana"/>
        </w:rPr>
        <w:t>.</w:t>
      </w:r>
    </w:p>
    <w:p w14:paraId="4FD70FCF" w14:textId="77777777" w:rsidR="008D6002" w:rsidRPr="00EF0DE4" w:rsidRDefault="008D6002" w:rsidP="001B3B76">
      <w:pPr>
        <w:jc w:val="both"/>
        <w:rPr>
          <w:rFonts w:ascii="Verdana" w:hAnsi="Verdana"/>
        </w:rPr>
      </w:pPr>
    </w:p>
    <w:p w14:paraId="08866A05" w14:textId="5E2CC83C" w:rsidR="008D6002" w:rsidRPr="00EF0DE4" w:rsidRDefault="008D6002" w:rsidP="001B3B76">
      <w:pPr>
        <w:pStyle w:val="Prrafodelista"/>
        <w:numPr>
          <w:ilvl w:val="0"/>
          <w:numId w:val="8"/>
        </w:numPr>
        <w:autoSpaceDN/>
        <w:contextualSpacing/>
        <w:jc w:val="both"/>
        <w:textAlignment w:val="auto"/>
        <w:rPr>
          <w:rFonts w:ascii="Verdana" w:hAnsi="Verdana"/>
        </w:rPr>
      </w:pPr>
      <w:r w:rsidRPr="00EF0DE4">
        <w:rPr>
          <w:rFonts w:ascii="Verdana" w:hAnsi="Verdana"/>
        </w:rPr>
        <w:t>Índice de Agua Suministrada por suscriptor facturado</w:t>
      </w:r>
      <w:r w:rsidR="00537192">
        <w:rPr>
          <w:rFonts w:ascii="Verdana" w:hAnsi="Verdana"/>
        </w:rPr>
        <w:t xml:space="preserve"> - ISUF</w:t>
      </w:r>
      <w:r w:rsidRPr="00EF0DE4">
        <w:rPr>
          <w:rFonts w:ascii="Verdana" w:hAnsi="Verdana"/>
        </w:rPr>
        <w:t>: se incluyó un ajuste optativo en el indicador ISUF con el fin de adecuarlo a los planes de reducción de pérdidas.</w:t>
      </w:r>
      <w:r w:rsidR="00F31150">
        <w:rPr>
          <w:rFonts w:ascii="Verdana" w:hAnsi="Verdana"/>
        </w:rPr>
        <w:t xml:space="preserve"> </w:t>
      </w:r>
      <w:r w:rsidR="00085BB7">
        <w:rPr>
          <w:rFonts w:ascii="Verdana" w:hAnsi="Verdana"/>
        </w:rPr>
        <w:t>Para ello</w:t>
      </w:r>
      <w:r w:rsidR="002942C1">
        <w:rPr>
          <w:rFonts w:ascii="Verdana" w:hAnsi="Verdana"/>
        </w:rPr>
        <w:t xml:space="preserve"> </w:t>
      </w:r>
      <w:r w:rsidR="00F31150" w:rsidRPr="00EF0DE4">
        <w:rPr>
          <w:rFonts w:ascii="Verdana" w:hAnsi="Verdana"/>
        </w:rPr>
        <w:t>se adicionó el parágrafo 3 al artículo 2.1.2.1.3.3.1. de la resolución ibidem</w:t>
      </w:r>
      <w:r w:rsidR="00F31150">
        <w:rPr>
          <w:rFonts w:ascii="Verdana" w:hAnsi="Verdana"/>
        </w:rPr>
        <w:t>.</w:t>
      </w:r>
    </w:p>
    <w:p w14:paraId="279DF1EC" w14:textId="77777777" w:rsidR="008D6002" w:rsidRPr="00EF0DE4" w:rsidRDefault="008D6002" w:rsidP="001B3B76">
      <w:pPr>
        <w:ind w:left="360"/>
        <w:jc w:val="both"/>
        <w:rPr>
          <w:rFonts w:ascii="Verdana" w:hAnsi="Verdana"/>
        </w:rPr>
      </w:pPr>
    </w:p>
    <w:p w14:paraId="7156B5BC" w14:textId="17BCF882" w:rsidR="008D6002" w:rsidRPr="00EF0DE4" w:rsidRDefault="008D6002" w:rsidP="001B3B76">
      <w:pPr>
        <w:pStyle w:val="Prrafodelista"/>
        <w:numPr>
          <w:ilvl w:val="0"/>
          <w:numId w:val="8"/>
        </w:numPr>
        <w:autoSpaceDN/>
        <w:contextualSpacing/>
        <w:jc w:val="both"/>
        <w:textAlignment w:val="auto"/>
        <w:rPr>
          <w:rFonts w:ascii="Verdana" w:hAnsi="Verdana"/>
        </w:rPr>
      </w:pPr>
      <w:r w:rsidRPr="00EF0DE4">
        <w:rPr>
          <w:rFonts w:ascii="Verdana" w:hAnsi="Verdana"/>
        </w:rPr>
        <w:t>Incentivos y ajuste en la gradualidad para la reducción de pérdidas: se incorporó un incentivo positivo por reducción de pérdidas y se ajustó la gradualidad en la que los diferentes segmentos deben alcanzar el estándar de pérdidas.</w:t>
      </w:r>
      <w:r w:rsidR="002942C1">
        <w:rPr>
          <w:rFonts w:ascii="Verdana" w:hAnsi="Verdana"/>
        </w:rPr>
        <w:t xml:space="preserve"> Lo anterior se materializó en la modificación del </w:t>
      </w:r>
      <w:r w:rsidR="002942C1" w:rsidRPr="00EF0DE4">
        <w:rPr>
          <w:rFonts w:ascii="Verdana" w:hAnsi="Verdana"/>
        </w:rPr>
        <w:t>artículo 6.2.2.1.5. de los Anexos y el artículo 2.1.2.1.2.3 de la resolución ibidem</w:t>
      </w:r>
      <w:r w:rsidR="00916BDE">
        <w:rPr>
          <w:rFonts w:ascii="Verdana" w:hAnsi="Verdana"/>
        </w:rPr>
        <w:t>.</w:t>
      </w:r>
    </w:p>
    <w:p w14:paraId="2686E6AF" w14:textId="77777777" w:rsidR="008D6002" w:rsidRPr="00EF0DE4" w:rsidRDefault="008D6002" w:rsidP="001B3B76">
      <w:pPr>
        <w:jc w:val="both"/>
        <w:rPr>
          <w:rFonts w:ascii="Verdana" w:hAnsi="Verdana"/>
        </w:rPr>
      </w:pPr>
    </w:p>
    <w:p w14:paraId="204C84F1" w14:textId="09A23E89" w:rsidR="008D6002" w:rsidRPr="00A75EE7" w:rsidRDefault="008D6002" w:rsidP="001B3B76">
      <w:pPr>
        <w:pStyle w:val="Prrafodelista"/>
        <w:numPr>
          <w:ilvl w:val="0"/>
          <w:numId w:val="8"/>
        </w:numPr>
        <w:autoSpaceDN/>
        <w:contextualSpacing/>
        <w:jc w:val="both"/>
        <w:textAlignment w:val="auto"/>
        <w:rPr>
          <w:rFonts w:ascii="Verdana" w:hAnsi="Verdana"/>
        </w:rPr>
      </w:pPr>
      <w:r w:rsidRPr="00EF0DE4">
        <w:rPr>
          <w:rFonts w:ascii="Verdana" w:hAnsi="Verdana"/>
        </w:rPr>
        <w:t xml:space="preserve">Estándares y buenas prácticas: se eliminó de los estándares el Índice Integral de Sostenibilidad Ambiental en Acueducto y Alcantarillado </w:t>
      </w:r>
      <w:r w:rsidR="008D4BCC">
        <w:rPr>
          <w:rFonts w:ascii="Verdana" w:hAnsi="Verdana"/>
        </w:rPr>
        <w:t xml:space="preserve">- </w:t>
      </w:r>
      <w:r w:rsidRPr="00EF0DE4">
        <w:rPr>
          <w:rFonts w:ascii="Verdana" w:hAnsi="Verdana"/>
        </w:rPr>
        <w:t xml:space="preserve">ISAAA; se incorporó como estándar el Plan de Reducción de Pérdidas; se estableció una gradualidad en el indicador de cobertura para prestadores del segmento 4 y aquellos en condiciones especiales; se ajustó la fórmula del indicador DACAL (diferencia entre suscriptores de Acueducto y Alcantarillado); se incorporaron como buenas prácticas, el Plan Integral de Prestación </w:t>
      </w:r>
      <w:r w:rsidR="008D4BCC">
        <w:rPr>
          <w:rFonts w:ascii="Verdana" w:hAnsi="Verdana"/>
        </w:rPr>
        <w:t xml:space="preserve">- </w:t>
      </w:r>
      <w:r w:rsidRPr="00EF0DE4">
        <w:rPr>
          <w:rFonts w:ascii="Verdana" w:hAnsi="Verdana"/>
        </w:rPr>
        <w:t>PIP, los Sistemas Urbanos</w:t>
      </w:r>
      <w:r>
        <w:rPr>
          <w:rFonts w:ascii="Verdana" w:hAnsi="Verdana"/>
        </w:rPr>
        <w:t xml:space="preserve"> de Drenaje Sostenible </w:t>
      </w:r>
      <w:r w:rsidR="008D4BCC">
        <w:rPr>
          <w:rFonts w:ascii="Verdana" w:hAnsi="Verdana"/>
        </w:rPr>
        <w:t xml:space="preserve">- </w:t>
      </w:r>
      <w:r w:rsidRPr="00A75EE7">
        <w:rPr>
          <w:rFonts w:ascii="Verdana" w:hAnsi="Verdana"/>
        </w:rPr>
        <w:t>SUDS y el reúso en alcantarillado.</w:t>
      </w:r>
      <w:r>
        <w:rPr>
          <w:rFonts w:ascii="Verdana" w:hAnsi="Verdana"/>
        </w:rPr>
        <w:t xml:space="preserve"> </w:t>
      </w:r>
      <w:r w:rsidR="00EC37BA">
        <w:rPr>
          <w:rFonts w:ascii="Verdana" w:hAnsi="Verdana"/>
        </w:rPr>
        <w:t xml:space="preserve">Por lo tanto, se modificó </w:t>
      </w:r>
      <w:r w:rsidR="00EC37BA" w:rsidRPr="00EF0DE4">
        <w:rPr>
          <w:rFonts w:ascii="Verdana" w:hAnsi="Verdana"/>
        </w:rPr>
        <w:t>el artículo 6.2.2.1.1. de los Anexos de la resolución ibidem</w:t>
      </w:r>
      <w:r w:rsidR="00EC37BA">
        <w:rPr>
          <w:rFonts w:ascii="Verdana" w:hAnsi="Verdana"/>
        </w:rPr>
        <w:t>.</w:t>
      </w:r>
    </w:p>
    <w:p w14:paraId="3294E253" w14:textId="77777777" w:rsidR="008D6002" w:rsidRPr="00E03408" w:rsidRDefault="008D6002" w:rsidP="001B3B76">
      <w:pPr>
        <w:jc w:val="both"/>
        <w:rPr>
          <w:rFonts w:ascii="Verdana" w:hAnsi="Verdana"/>
        </w:rPr>
      </w:pPr>
    </w:p>
    <w:p w14:paraId="14BB5CA7" w14:textId="77777777" w:rsidR="008D6002" w:rsidRPr="000E573B" w:rsidRDefault="008D6002" w:rsidP="00536CC7">
      <w:pPr>
        <w:pStyle w:val="Textoindependiente"/>
        <w:numPr>
          <w:ilvl w:val="0"/>
          <w:numId w:val="9"/>
        </w:numPr>
        <w:rPr>
          <w:rFonts w:ascii="Verdana" w:hAnsi="Verdana" w:cs="Verdana"/>
          <w:b/>
          <w:bCs/>
          <w:i/>
          <w:iCs/>
        </w:rPr>
      </w:pPr>
      <w:r w:rsidRPr="00E75BB9">
        <w:rPr>
          <w:rFonts w:ascii="Verdana" w:hAnsi="Verdana"/>
          <w:i/>
          <w:iCs/>
        </w:rPr>
        <w:t>Señalar qué cambios fueron sugeridos mediante el Concepto de Abogacía de la Competencia y cómo se materializaron en la Resolución definitiva aprobada el pasado 24 de marzo de 2026.</w:t>
      </w:r>
    </w:p>
    <w:p w14:paraId="4F560C05" w14:textId="6B79F14F" w:rsidR="008D6002" w:rsidRDefault="008D6002" w:rsidP="001B3B76">
      <w:pPr>
        <w:jc w:val="both"/>
        <w:rPr>
          <w:rFonts w:ascii="Verdana" w:hAnsi="Verdana" w:cs="Verdana"/>
        </w:rPr>
      </w:pPr>
      <w:r>
        <w:rPr>
          <w:rFonts w:ascii="Verdana" w:hAnsi="Verdana" w:cs="Verdana"/>
        </w:rPr>
        <w:lastRenderedPageBreak/>
        <w:t>A</w:t>
      </w:r>
      <w:r w:rsidRPr="00AD6B72">
        <w:rPr>
          <w:rFonts w:ascii="Verdana" w:hAnsi="Verdana" w:cs="Verdana"/>
        </w:rPr>
        <w:t xml:space="preserve"> través del </w:t>
      </w:r>
      <w:r>
        <w:rPr>
          <w:rFonts w:ascii="Verdana" w:hAnsi="Verdana" w:cs="Verdana"/>
        </w:rPr>
        <w:t xml:space="preserve">radicado CRA </w:t>
      </w:r>
      <w:r w:rsidRPr="00AD6B72">
        <w:rPr>
          <w:rFonts w:ascii="Verdana" w:hAnsi="Verdana" w:cs="Verdana"/>
        </w:rPr>
        <w:t>20263210039942 del 12 de marzo de 2026,</w:t>
      </w:r>
      <w:r>
        <w:rPr>
          <w:rFonts w:ascii="Verdana" w:hAnsi="Verdana" w:cs="Verdana"/>
        </w:rPr>
        <w:t xml:space="preserve"> </w:t>
      </w:r>
      <w:r w:rsidRPr="00AD6B72">
        <w:rPr>
          <w:rFonts w:ascii="Verdana" w:hAnsi="Verdana" w:cs="Verdana"/>
        </w:rPr>
        <w:t>la Superintendencia de Industria y Comercio - SIC rindió el correspondiente concepto de abogacía</w:t>
      </w:r>
      <w:r>
        <w:rPr>
          <w:rFonts w:ascii="Verdana" w:hAnsi="Verdana" w:cs="Verdana"/>
        </w:rPr>
        <w:t xml:space="preserve"> </w:t>
      </w:r>
      <w:r w:rsidRPr="00AD6B72">
        <w:rPr>
          <w:rFonts w:ascii="Verdana" w:hAnsi="Verdana" w:cs="Verdana"/>
        </w:rPr>
        <w:t>de la competencia</w:t>
      </w:r>
      <w:r>
        <w:rPr>
          <w:rFonts w:ascii="Verdana" w:hAnsi="Verdana" w:cs="Verdana"/>
        </w:rPr>
        <w:t xml:space="preserve"> respecto del nuevo marco tarifario para grandes prestadores </w:t>
      </w:r>
      <w:r w:rsidR="00FA1ADE">
        <w:rPr>
          <w:rFonts w:ascii="Verdana" w:hAnsi="Verdana" w:cs="Verdana"/>
        </w:rPr>
        <w:t xml:space="preserve">de acueducto y alcantarillado </w:t>
      </w:r>
      <w:r>
        <w:rPr>
          <w:rFonts w:ascii="Verdana" w:hAnsi="Verdana" w:cs="Verdana"/>
        </w:rPr>
        <w:t>y, puntualmente realizó 3 recomendaciones:</w:t>
      </w:r>
    </w:p>
    <w:p w14:paraId="3317EBC4" w14:textId="77777777" w:rsidR="008D6002" w:rsidRDefault="008D6002" w:rsidP="001B3B76">
      <w:pPr>
        <w:jc w:val="both"/>
        <w:rPr>
          <w:rFonts w:ascii="Verdana" w:hAnsi="Verdana" w:cs="Verdana"/>
        </w:rPr>
      </w:pPr>
    </w:p>
    <w:p w14:paraId="37BC90C6" w14:textId="77777777" w:rsidR="008D6002" w:rsidRPr="00AD6B72" w:rsidRDefault="008D6002" w:rsidP="001B3B76">
      <w:pPr>
        <w:pStyle w:val="Prrafodelista"/>
        <w:numPr>
          <w:ilvl w:val="0"/>
          <w:numId w:val="4"/>
        </w:numPr>
        <w:autoSpaceDN/>
        <w:contextualSpacing/>
        <w:jc w:val="both"/>
        <w:textAlignment w:val="auto"/>
        <w:rPr>
          <w:rFonts w:ascii="Verdana" w:hAnsi="Verdana" w:cs="Verdana"/>
          <w:i/>
          <w:iCs/>
        </w:rPr>
      </w:pPr>
      <w:r>
        <w:rPr>
          <w:rFonts w:ascii="Verdana" w:hAnsi="Verdana" w:cs="Verdana"/>
          <w:i/>
          <w:iCs/>
        </w:rPr>
        <w:t>“</w:t>
      </w:r>
      <w:r w:rsidRPr="00AD6B72">
        <w:rPr>
          <w:rFonts w:ascii="Verdana" w:hAnsi="Verdana" w:cs="Verdana"/>
          <w:i/>
          <w:iCs/>
        </w:rPr>
        <w:t xml:space="preserve">En relación con el numeral 3 del artículo 2.1.2.1.1.5: </w:t>
      </w:r>
      <w:r w:rsidRPr="00AD6B72">
        <w:rPr>
          <w:rFonts w:ascii="Verdana" w:hAnsi="Verdana" w:cs="Verdana"/>
          <w:b/>
          <w:bCs/>
          <w:i/>
          <w:iCs/>
        </w:rPr>
        <w:t xml:space="preserve">Ajustar </w:t>
      </w:r>
      <w:r w:rsidRPr="00AD6B72">
        <w:rPr>
          <w:rFonts w:ascii="Verdana" w:hAnsi="Verdana" w:cs="Verdana"/>
          <w:i/>
          <w:iCs/>
        </w:rPr>
        <w:t xml:space="preserve">la referencia normativa a que los instrumentos de ordenamiento territorial deban encontrarse actualizados, de forma que la armonización del </w:t>
      </w:r>
      <w:r w:rsidRPr="00AD6B72">
        <w:rPr>
          <w:rFonts w:ascii="Verdana" w:hAnsi="Verdana" w:cs="Verdana"/>
          <w:b/>
          <w:bCs/>
          <w:i/>
          <w:iCs/>
        </w:rPr>
        <w:t xml:space="preserve">APS </w:t>
      </w:r>
      <w:r w:rsidRPr="00AD6B72">
        <w:rPr>
          <w:rFonts w:ascii="Verdana" w:hAnsi="Verdana" w:cs="Verdana"/>
          <w:i/>
          <w:iCs/>
        </w:rPr>
        <w:t xml:space="preserve">pueda sustentarse en el instrumento formalmente vigente al momento de su definición. </w:t>
      </w:r>
    </w:p>
    <w:p w14:paraId="580ADC36" w14:textId="77777777" w:rsidR="008D6002" w:rsidRPr="00AD6B72" w:rsidRDefault="008D6002" w:rsidP="001B3B76">
      <w:pPr>
        <w:jc w:val="both"/>
        <w:rPr>
          <w:rFonts w:ascii="Verdana" w:hAnsi="Verdana" w:cs="Verdana"/>
          <w:i/>
          <w:iCs/>
        </w:rPr>
      </w:pPr>
    </w:p>
    <w:p w14:paraId="33AEED1E" w14:textId="77777777" w:rsidR="008D6002" w:rsidRPr="00AD6B72" w:rsidRDefault="008D6002" w:rsidP="001B3B76">
      <w:pPr>
        <w:pStyle w:val="Prrafodelista"/>
        <w:numPr>
          <w:ilvl w:val="0"/>
          <w:numId w:val="4"/>
        </w:numPr>
        <w:autoSpaceDN/>
        <w:contextualSpacing/>
        <w:jc w:val="both"/>
        <w:textAlignment w:val="auto"/>
        <w:rPr>
          <w:rFonts w:ascii="Verdana" w:hAnsi="Verdana" w:cs="Verdana"/>
          <w:i/>
          <w:iCs/>
        </w:rPr>
      </w:pPr>
      <w:r w:rsidRPr="00AD6B72">
        <w:rPr>
          <w:rFonts w:ascii="Verdana" w:hAnsi="Verdana" w:cs="Verdana"/>
          <w:i/>
          <w:iCs/>
        </w:rPr>
        <w:t xml:space="preserve">En relación con el numeral 2 del artículo 2.1.2.1.1.6: </w:t>
      </w:r>
      <w:r w:rsidRPr="00AD6B72">
        <w:rPr>
          <w:rFonts w:ascii="Verdana" w:hAnsi="Verdana" w:cs="Verdana"/>
          <w:b/>
          <w:bCs/>
          <w:i/>
          <w:iCs/>
        </w:rPr>
        <w:t xml:space="preserve">Complementar </w:t>
      </w:r>
      <w:r w:rsidRPr="00AD6B72">
        <w:rPr>
          <w:rFonts w:ascii="Verdana" w:hAnsi="Verdana" w:cs="Verdana"/>
          <w:i/>
          <w:iCs/>
        </w:rPr>
        <w:t xml:space="preserve">la justificación técnica de la regla que suma la totalidad de los suscriptores para determinar el segmento aplicable, aun cuando las </w:t>
      </w:r>
      <w:r w:rsidRPr="00AD6B72">
        <w:rPr>
          <w:rFonts w:ascii="Verdana" w:hAnsi="Verdana" w:cs="Verdana"/>
          <w:b/>
          <w:bCs/>
          <w:i/>
          <w:iCs/>
        </w:rPr>
        <w:t xml:space="preserve">APS </w:t>
      </w:r>
      <w:r w:rsidRPr="00AD6B72">
        <w:rPr>
          <w:rFonts w:ascii="Verdana" w:hAnsi="Verdana" w:cs="Verdana"/>
          <w:i/>
          <w:iCs/>
        </w:rPr>
        <w:t xml:space="preserve">no se encuentren interconectadas. </w:t>
      </w:r>
    </w:p>
    <w:p w14:paraId="58CB6825" w14:textId="77777777" w:rsidR="008D6002" w:rsidRPr="00AD6B72" w:rsidRDefault="008D6002" w:rsidP="001B3B76">
      <w:pPr>
        <w:jc w:val="both"/>
        <w:rPr>
          <w:rFonts w:ascii="Verdana" w:hAnsi="Verdana" w:cs="Verdana"/>
          <w:i/>
          <w:iCs/>
        </w:rPr>
      </w:pPr>
    </w:p>
    <w:p w14:paraId="0E6741E4" w14:textId="77777777" w:rsidR="008D6002" w:rsidRPr="00AD6B72" w:rsidRDefault="008D6002" w:rsidP="001B3B76">
      <w:pPr>
        <w:pStyle w:val="Prrafodelista"/>
        <w:numPr>
          <w:ilvl w:val="0"/>
          <w:numId w:val="4"/>
        </w:numPr>
        <w:autoSpaceDN/>
        <w:contextualSpacing/>
        <w:jc w:val="both"/>
        <w:textAlignment w:val="auto"/>
        <w:rPr>
          <w:rFonts w:ascii="Verdana" w:hAnsi="Verdana" w:cs="Verdana"/>
          <w:i/>
          <w:iCs/>
        </w:rPr>
      </w:pPr>
      <w:r w:rsidRPr="00AD6B72">
        <w:rPr>
          <w:rFonts w:ascii="Verdana" w:hAnsi="Verdana" w:cs="Verdana"/>
          <w:i/>
          <w:iCs/>
        </w:rPr>
        <w:t xml:space="preserve">En relación con el artículo 2.1.2.1.2.3: </w:t>
      </w:r>
      <w:r w:rsidRPr="00AD6B72">
        <w:rPr>
          <w:rFonts w:ascii="Verdana" w:hAnsi="Verdana" w:cs="Verdana"/>
          <w:b/>
          <w:bCs/>
          <w:i/>
          <w:iCs/>
        </w:rPr>
        <w:t xml:space="preserve">Detallar </w:t>
      </w:r>
      <w:r w:rsidRPr="00AD6B72">
        <w:rPr>
          <w:rFonts w:ascii="Verdana" w:hAnsi="Verdana" w:cs="Verdana"/>
          <w:i/>
          <w:iCs/>
        </w:rPr>
        <w:t xml:space="preserve">explícitamente la justificación de la gradualidad en pérdidas, mostrando cómo la segmentación definida por la </w:t>
      </w:r>
      <w:r w:rsidRPr="00AD6B72">
        <w:rPr>
          <w:rFonts w:ascii="Verdana" w:hAnsi="Verdana" w:cs="Verdana"/>
          <w:b/>
          <w:bCs/>
          <w:i/>
          <w:iCs/>
        </w:rPr>
        <w:t xml:space="preserve">CRA </w:t>
      </w:r>
      <w:r w:rsidRPr="00AD6B72">
        <w:rPr>
          <w:rFonts w:ascii="Verdana" w:hAnsi="Verdana" w:cs="Verdana"/>
          <w:i/>
          <w:iCs/>
        </w:rPr>
        <w:t>sustenta trayectorias técnica, operativa y financieramente viables para los prestadores categorizados en los segmentos 1, 2 y 3.</w:t>
      </w:r>
      <w:r>
        <w:rPr>
          <w:rFonts w:ascii="Verdana" w:hAnsi="Verdana" w:cs="Verdana"/>
          <w:i/>
          <w:iCs/>
        </w:rPr>
        <w:t>”</w:t>
      </w:r>
    </w:p>
    <w:p w14:paraId="2A577144" w14:textId="77777777" w:rsidR="008D6002" w:rsidRDefault="008D6002" w:rsidP="001B3B76">
      <w:pPr>
        <w:jc w:val="both"/>
        <w:rPr>
          <w:rFonts w:ascii="Verdana" w:hAnsi="Verdana" w:cs="Verdana"/>
        </w:rPr>
      </w:pPr>
    </w:p>
    <w:p w14:paraId="77A10256" w14:textId="77777777" w:rsidR="008D6002" w:rsidRDefault="008D6002" w:rsidP="001B3B76">
      <w:pPr>
        <w:jc w:val="both"/>
        <w:rPr>
          <w:rFonts w:ascii="Verdana" w:hAnsi="Verdana" w:cs="Verdana"/>
        </w:rPr>
      </w:pPr>
      <w:r>
        <w:rPr>
          <w:rFonts w:ascii="Verdana" w:hAnsi="Verdana" w:cs="Verdana"/>
        </w:rPr>
        <w:t xml:space="preserve">En atención a lo recomendado por la SIC, se ajustó el artículo </w:t>
      </w:r>
      <w:r w:rsidRPr="00BD5225">
        <w:rPr>
          <w:rFonts w:ascii="Verdana" w:hAnsi="Verdana" w:cs="Verdana"/>
        </w:rPr>
        <w:t>2.1.2.1.1.5</w:t>
      </w:r>
      <w:r>
        <w:rPr>
          <w:rFonts w:ascii="Verdana" w:hAnsi="Verdana" w:cs="Verdana"/>
        </w:rPr>
        <w:t xml:space="preserve"> de la Resolución CRA 943 de 2021, incorporado por la Resolución CRA 1032 de 2026, para lo cual se eliminó el texto que hacía referencia al estado “actualizado” de los instrumentos de ordenamiento territorial. A su vez, se complementó el numeral 2 del artículo </w:t>
      </w:r>
      <w:r w:rsidRPr="00FF1FBC">
        <w:rPr>
          <w:rFonts w:ascii="Verdana" w:hAnsi="Verdana" w:cs="Verdana"/>
        </w:rPr>
        <w:t>2.1.2.1.1.6</w:t>
      </w:r>
      <w:r>
        <w:rPr>
          <w:rFonts w:ascii="Verdana" w:hAnsi="Verdana" w:cs="Verdana"/>
        </w:rPr>
        <w:t xml:space="preserve"> de la Resolución CRA 943 de 2021, incorporado por la Resolución CRA 1032 de 2026, precisando que dicha suma es independiente de la interconexión o no de las áreas de prestación del servicio - APS que atiende.</w:t>
      </w:r>
    </w:p>
    <w:p w14:paraId="76E385C4" w14:textId="77777777" w:rsidR="008D6002" w:rsidRDefault="008D6002" w:rsidP="001B3B76">
      <w:pPr>
        <w:jc w:val="both"/>
        <w:rPr>
          <w:rFonts w:ascii="Verdana" w:hAnsi="Verdana" w:cs="Verdana"/>
        </w:rPr>
      </w:pPr>
    </w:p>
    <w:p w14:paraId="118F9908" w14:textId="77777777" w:rsidR="008D6002" w:rsidRDefault="008D6002" w:rsidP="001B3B76">
      <w:pPr>
        <w:jc w:val="both"/>
        <w:rPr>
          <w:rFonts w:ascii="Verdana" w:hAnsi="Verdana" w:cs="Verdana"/>
        </w:rPr>
      </w:pPr>
      <w:r>
        <w:rPr>
          <w:rFonts w:ascii="Verdana" w:hAnsi="Verdana" w:cs="Verdana"/>
        </w:rPr>
        <w:t>Finalmente, para dar atención a la tercera recomendación, se incluyó en el Documento de Trabajo de la Resolución CRA 1032 de 2026, puntualmente en el numeral 4.3.2 lo siguiente:</w:t>
      </w:r>
    </w:p>
    <w:p w14:paraId="4CEE7FE1" w14:textId="77777777" w:rsidR="008D6002" w:rsidRDefault="008D6002" w:rsidP="001B3B76">
      <w:pPr>
        <w:jc w:val="both"/>
        <w:rPr>
          <w:rFonts w:ascii="Verdana" w:hAnsi="Verdana" w:cs="Verdana"/>
        </w:rPr>
      </w:pPr>
    </w:p>
    <w:p w14:paraId="74ACA883" w14:textId="77777777" w:rsidR="008D6002" w:rsidRPr="00E4204B" w:rsidRDefault="008D6002" w:rsidP="001B3B76">
      <w:pPr>
        <w:ind w:left="567"/>
        <w:jc w:val="both"/>
        <w:rPr>
          <w:rFonts w:ascii="Verdana" w:hAnsi="Verdana" w:cs="Verdana"/>
          <w:i/>
          <w:iCs/>
        </w:rPr>
      </w:pPr>
      <w:r w:rsidRPr="00E4204B">
        <w:rPr>
          <w:rFonts w:ascii="Verdana" w:hAnsi="Verdana" w:cs="Verdana"/>
          <w:i/>
          <w:iCs/>
        </w:rPr>
        <w:t>“Si bien el objetivo regulatorio de mediano plazo es alcanzar el estándar de 4 m³/suscriptor/mes, la metodología tarifaria establece una gradualidad escalonada que reconoce la diversidad de capacidades técnicas, financieras y operativas entre prestadores. Así mismo, reconoce las fallas del mercado asociadas a las pérdidas entre las que se destacan:</w:t>
      </w:r>
    </w:p>
    <w:p w14:paraId="36E300C2" w14:textId="77777777" w:rsidR="008D6002" w:rsidRPr="00E4204B" w:rsidRDefault="008D6002" w:rsidP="001B3B76">
      <w:pPr>
        <w:pStyle w:val="Prrafodelista"/>
        <w:numPr>
          <w:ilvl w:val="0"/>
          <w:numId w:val="7"/>
        </w:numPr>
        <w:autoSpaceDN/>
        <w:ind w:left="993"/>
        <w:contextualSpacing/>
        <w:jc w:val="both"/>
        <w:textAlignment w:val="auto"/>
        <w:rPr>
          <w:rFonts w:ascii="Verdana" w:hAnsi="Verdana" w:cs="Verdana"/>
          <w:i/>
          <w:iCs/>
        </w:rPr>
      </w:pPr>
      <w:r w:rsidRPr="00E4204B">
        <w:rPr>
          <w:rFonts w:ascii="Verdana" w:hAnsi="Verdana" w:cs="Verdana"/>
          <w:i/>
          <w:iCs/>
        </w:rPr>
        <w:lastRenderedPageBreak/>
        <w:t>Externalidades negativas no internalizadas, que se reflejan en mayor presión sobre las fuentes hídricas, incremento de la escasez, deterioro de ecosistemas y mayores costos ambientales para la sociedad.</w:t>
      </w:r>
    </w:p>
    <w:p w14:paraId="3DA0D1B7" w14:textId="77777777" w:rsidR="008D6002" w:rsidRPr="00E4204B" w:rsidRDefault="008D6002" w:rsidP="001B3B76">
      <w:pPr>
        <w:pStyle w:val="Prrafodelista"/>
        <w:numPr>
          <w:ilvl w:val="0"/>
          <w:numId w:val="7"/>
        </w:numPr>
        <w:autoSpaceDN/>
        <w:ind w:left="993"/>
        <w:contextualSpacing/>
        <w:jc w:val="both"/>
        <w:textAlignment w:val="auto"/>
        <w:rPr>
          <w:rFonts w:ascii="Verdana" w:hAnsi="Verdana" w:cs="Verdana"/>
          <w:i/>
          <w:iCs/>
        </w:rPr>
      </w:pPr>
      <w:r w:rsidRPr="00E4204B">
        <w:rPr>
          <w:rFonts w:ascii="Verdana" w:hAnsi="Verdana" w:cs="Verdana"/>
          <w:i/>
          <w:iCs/>
        </w:rPr>
        <w:t>Características de monopolio natural del servicio, que pueden generar menores incentivos por parte de los prestadores para invertir en la reducción de pérdidas.</w:t>
      </w:r>
    </w:p>
    <w:p w14:paraId="5D9A3F02" w14:textId="77777777" w:rsidR="008D6002" w:rsidRPr="00E4204B" w:rsidRDefault="008D6002" w:rsidP="001B3B76">
      <w:pPr>
        <w:pStyle w:val="Prrafodelista"/>
        <w:numPr>
          <w:ilvl w:val="0"/>
          <w:numId w:val="7"/>
        </w:numPr>
        <w:autoSpaceDN/>
        <w:ind w:left="993"/>
        <w:contextualSpacing/>
        <w:jc w:val="both"/>
        <w:textAlignment w:val="auto"/>
        <w:rPr>
          <w:rFonts w:ascii="Verdana" w:hAnsi="Verdana" w:cs="Verdana"/>
          <w:i/>
          <w:iCs/>
        </w:rPr>
      </w:pPr>
      <w:r w:rsidRPr="00E4204B">
        <w:rPr>
          <w:rFonts w:ascii="Verdana" w:hAnsi="Verdana" w:cs="Verdana"/>
          <w:i/>
          <w:iCs/>
        </w:rPr>
        <w:t>Costos sociales y económicos trasladados por ineficiencias en la gestión del recurso, tales como mayor consumo energético, mayores necesidades de captación y tratamiento.</w:t>
      </w:r>
    </w:p>
    <w:p w14:paraId="01700E4A" w14:textId="77777777" w:rsidR="008D6002" w:rsidRDefault="008D6002" w:rsidP="001B3B76">
      <w:pPr>
        <w:ind w:left="567"/>
        <w:jc w:val="both"/>
        <w:rPr>
          <w:rFonts w:ascii="Verdana" w:hAnsi="Verdana" w:cs="Verdana"/>
        </w:rPr>
      </w:pPr>
    </w:p>
    <w:p w14:paraId="42E0E933" w14:textId="77777777" w:rsidR="008D6002" w:rsidRPr="00E4204B" w:rsidRDefault="008D6002" w:rsidP="001B3B76">
      <w:pPr>
        <w:ind w:left="567"/>
        <w:jc w:val="both"/>
        <w:rPr>
          <w:rFonts w:ascii="Verdana" w:hAnsi="Verdana" w:cs="Verdana"/>
          <w:i/>
          <w:iCs/>
        </w:rPr>
      </w:pPr>
      <w:r w:rsidRPr="00E4204B">
        <w:rPr>
          <w:rFonts w:ascii="Verdana" w:hAnsi="Verdana" w:cs="Verdana"/>
          <w:i/>
          <w:iCs/>
        </w:rPr>
        <w:t xml:space="preserve">Las personas prestadoras de los segmentos 1, 2 y 3 deberán alcanzar el estándar IPUF* a más tardar en el quinto año tarifario, siguiendo la gradualidad definida por la CRA. </w:t>
      </w:r>
    </w:p>
    <w:p w14:paraId="495F2BD6" w14:textId="77777777" w:rsidR="008D6002" w:rsidRPr="00E4204B" w:rsidRDefault="008D6002" w:rsidP="001B3B76">
      <w:pPr>
        <w:ind w:left="567"/>
        <w:jc w:val="both"/>
        <w:rPr>
          <w:rFonts w:ascii="Verdana" w:hAnsi="Verdana" w:cs="Verdana"/>
          <w:i/>
          <w:iCs/>
        </w:rPr>
      </w:pPr>
    </w:p>
    <w:p w14:paraId="63217BAB" w14:textId="77777777" w:rsidR="008D6002" w:rsidRPr="00E4204B" w:rsidRDefault="008D6002" w:rsidP="001B3B76">
      <w:pPr>
        <w:ind w:left="567"/>
        <w:jc w:val="both"/>
        <w:rPr>
          <w:rFonts w:ascii="Verdana" w:hAnsi="Verdana" w:cs="Verdana"/>
          <w:i/>
          <w:iCs/>
        </w:rPr>
      </w:pPr>
      <w:r w:rsidRPr="00E4204B">
        <w:rPr>
          <w:rFonts w:ascii="Verdana" w:hAnsi="Verdana" w:cs="Verdana"/>
          <w:i/>
          <w:iCs/>
        </w:rPr>
        <w:t xml:space="preserve">Los prestadores de mayor escala (segmentos 1 y 2) deben avanzar de forma más acelerada hacia los 4 m³/suscriptor/mes, dado que cuentan con capacidades técnicas y gerenciales significativamente superiores. Entre ellas se destacan: amplia cobertura de </w:t>
      </w:r>
      <w:proofErr w:type="spellStart"/>
      <w:r w:rsidRPr="00E4204B">
        <w:rPr>
          <w:rFonts w:ascii="Verdana" w:hAnsi="Verdana" w:cs="Verdana"/>
          <w:i/>
          <w:iCs/>
        </w:rPr>
        <w:t>micromedición</w:t>
      </w:r>
      <w:proofErr w:type="spellEnd"/>
      <w:r w:rsidRPr="00E4204B">
        <w:rPr>
          <w:rFonts w:ascii="Verdana" w:hAnsi="Verdana" w:cs="Verdana"/>
          <w:i/>
          <w:iCs/>
        </w:rPr>
        <w:t xml:space="preserve">; capacidad para implementar macro y </w:t>
      </w:r>
      <w:proofErr w:type="spellStart"/>
      <w:r w:rsidRPr="00E4204B">
        <w:rPr>
          <w:rFonts w:ascii="Verdana" w:hAnsi="Verdana" w:cs="Verdana"/>
          <w:i/>
          <w:iCs/>
        </w:rPr>
        <w:t>microsectorización</w:t>
      </w:r>
      <w:proofErr w:type="spellEnd"/>
      <w:r w:rsidRPr="00E4204B">
        <w:rPr>
          <w:rFonts w:ascii="Verdana" w:hAnsi="Verdana" w:cs="Verdana"/>
          <w:i/>
          <w:iCs/>
        </w:rPr>
        <w:t>; plataformas implementadas de SCADA, telemetría y control activo de fugas; mayor músculo financiero para renovación de redes y reposición de medidores.</w:t>
      </w:r>
    </w:p>
    <w:p w14:paraId="1692418A" w14:textId="77777777" w:rsidR="008D6002" w:rsidRPr="00E4204B" w:rsidRDefault="008D6002" w:rsidP="001B3B76">
      <w:pPr>
        <w:ind w:left="567"/>
        <w:jc w:val="both"/>
        <w:rPr>
          <w:rFonts w:ascii="Verdana" w:hAnsi="Verdana" w:cs="Verdana"/>
          <w:i/>
          <w:iCs/>
        </w:rPr>
      </w:pPr>
    </w:p>
    <w:p w14:paraId="03E90CA0" w14:textId="77777777" w:rsidR="008D6002" w:rsidRPr="00E4204B" w:rsidRDefault="008D6002" w:rsidP="001B3B76">
      <w:pPr>
        <w:ind w:left="567"/>
        <w:jc w:val="both"/>
        <w:rPr>
          <w:rFonts w:ascii="Verdana" w:hAnsi="Verdana" w:cs="Verdana"/>
          <w:i/>
          <w:iCs/>
        </w:rPr>
      </w:pPr>
      <w:r w:rsidRPr="00E4204B">
        <w:rPr>
          <w:rFonts w:ascii="Verdana" w:hAnsi="Verdana" w:cs="Verdana"/>
          <w:i/>
          <w:iCs/>
        </w:rPr>
        <w:t>Estas capacidades permiten ejecutar programas de reducción de pérdidas con mayor profundidad y menor costo por suscriptor, lo que justifica una exigencia más estricta para estos segmentos.</w:t>
      </w:r>
    </w:p>
    <w:p w14:paraId="1E96002A" w14:textId="77777777" w:rsidR="008D6002" w:rsidRDefault="008D6002" w:rsidP="001B3B76">
      <w:pPr>
        <w:ind w:left="567"/>
        <w:jc w:val="both"/>
        <w:rPr>
          <w:rFonts w:ascii="Verdana" w:hAnsi="Verdana" w:cs="Verdana"/>
          <w:i/>
          <w:iCs/>
        </w:rPr>
      </w:pPr>
    </w:p>
    <w:p w14:paraId="7B90FAE9" w14:textId="77777777" w:rsidR="008D6002" w:rsidRPr="00E4204B" w:rsidRDefault="008D6002" w:rsidP="001B3B76">
      <w:pPr>
        <w:ind w:left="567"/>
        <w:jc w:val="both"/>
        <w:rPr>
          <w:rFonts w:ascii="Verdana" w:hAnsi="Verdana" w:cs="Verdana"/>
          <w:i/>
          <w:iCs/>
        </w:rPr>
      </w:pPr>
      <w:r w:rsidRPr="00E4204B">
        <w:rPr>
          <w:rFonts w:ascii="Verdana" w:hAnsi="Verdana" w:cs="Verdana"/>
          <w:i/>
          <w:iCs/>
        </w:rPr>
        <w:t>En línea con lo anterior, un estudio internacional realizado a 120 empresas de servicios de agua en</w:t>
      </w:r>
      <w:r>
        <w:rPr>
          <w:rFonts w:ascii="Verdana" w:hAnsi="Verdana" w:cs="Verdana"/>
          <w:i/>
          <w:iCs/>
        </w:rPr>
        <w:t xml:space="preserve"> </w:t>
      </w:r>
      <w:r w:rsidRPr="00E4204B">
        <w:rPr>
          <w:rFonts w:ascii="Verdana" w:hAnsi="Verdana" w:cs="Verdana"/>
          <w:i/>
          <w:iCs/>
        </w:rPr>
        <w:t>distintos países, señala que los grandes prestadores, gracias a las economías de escala, pueden</w:t>
      </w:r>
      <w:r>
        <w:rPr>
          <w:rFonts w:ascii="Verdana" w:hAnsi="Verdana" w:cs="Verdana"/>
          <w:i/>
          <w:iCs/>
        </w:rPr>
        <w:t xml:space="preserve"> </w:t>
      </w:r>
      <w:r w:rsidRPr="00E4204B">
        <w:rPr>
          <w:rFonts w:ascii="Verdana" w:hAnsi="Verdana" w:cs="Verdana"/>
          <w:i/>
          <w:iCs/>
        </w:rPr>
        <w:t>asignar presupuestos más elevados para la rehabilitación y el mantenimiento de infraestructura, lo</w:t>
      </w:r>
      <w:r>
        <w:rPr>
          <w:rFonts w:ascii="Verdana" w:hAnsi="Verdana" w:cs="Verdana"/>
          <w:i/>
          <w:iCs/>
        </w:rPr>
        <w:t xml:space="preserve"> </w:t>
      </w:r>
      <w:r w:rsidRPr="00E4204B">
        <w:rPr>
          <w:rFonts w:ascii="Verdana" w:hAnsi="Verdana" w:cs="Verdana"/>
          <w:i/>
          <w:iCs/>
        </w:rPr>
        <w:t>que contribuye a reducir de manera sostenida las pérdidas de agua. Asimismo, estas empresas</w:t>
      </w:r>
      <w:r>
        <w:rPr>
          <w:rFonts w:ascii="Verdana" w:hAnsi="Verdana" w:cs="Verdana"/>
          <w:i/>
          <w:iCs/>
        </w:rPr>
        <w:t xml:space="preserve"> </w:t>
      </w:r>
      <w:r w:rsidRPr="00E4204B">
        <w:rPr>
          <w:rFonts w:ascii="Verdana" w:hAnsi="Verdana" w:cs="Verdana"/>
          <w:i/>
          <w:iCs/>
        </w:rPr>
        <w:t>cuentan con mayor facilidad para contratar personal especializado en detección, localización y</w:t>
      </w:r>
      <w:r>
        <w:rPr>
          <w:rFonts w:ascii="Verdana" w:hAnsi="Verdana" w:cs="Verdana"/>
          <w:i/>
          <w:iCs/>
        </w:rPr>
        <w:t xml:space="preserve"> </w:t>
      </w:r>
      <w:r w:rsidRPr="00E4204B">
        <w:rPr>
          <w:rFonts w:ascii="Verdana" w:hAnsi="Verdana" w:cs="Verdana"/>
          <w:i/>
          <w:iCs/>
        </w:rPr>
        <w:t>reparación periódica de fugas. Estos equipos recurren a tecnologías avanzadas —como detección</w:t>
      </w:r>
      <w:r>
        <w:rPr>
          <w:rFonts w:ascii="Verdana" w:hAnsi="Verdana" w:cs="Verdana"/>
          <w:i/>
          <w:iCs/>
        </w:rPr>
        <w:t xml:space="preserve"> </w:t>
      </w:r>
      <w:r w:rsidRPr="00E4204B">
        <w:rPr>
          <w:rFonts w:ascii="Verdana" w:hAnsi="Verdana" w:cs="Verdana"/>
          <w:i/>
          <w:iCs/>
        </w:rPr>
        <w:t>acústica, análisis de datos hidráulicos (caudal y presión), modelación hidráulica y medición</w:t>
      </w:r>
      <w:r>
        <w:rPr>
          <w:rFonts w:ascii="Verdana" w:hAnsi="Verdana" w:cs="Verdana"/>
          <w:i/>
          <w:iCs/>
        </w:rPr>
        <w:t xml:space="preserve"> </w:t>
      </w:r>
      <w:r w:rsidRPr="00E4204B">
        <w:rPr>
          <w:rFonts w:ascii="Verdana" w:hAnsi="Verdana" w:cs="Verdana"/>
          <w:i/>
          <w:iCs/>
        </w:rPr>
        <w:t>inteligente— que permiten identificar fugas invisibles antes de que escalen a fallas graves. También</w:t>
      </w:r>
      <w:r>
        <w:rPr>
          <w:rFonts w:ascii="Verdana" w:hAnsi="Verdana" w:cs="Verdana"/>
          <w:i/>
          <w:iCs/>
        </w:rPr>
        <w:t xml:space="preserve"> </w:t>
      </w:r>
      <w:r w:rsidRPr="00E4204B">
        <w:rPr>
          <w:rFonts w:ascii="Verdana" w:hAnsi="Verdana" w:cs="Verdana"/>
          <w:i/>
          <w:iCs/>
        </w:rPr>
        <w:t>implementan sistemas de gestión más robustos, con indicadores de desempeño, auditorías</w:t>
      </w:r>
      <w:r>
        <w:rPr>
          <w:rFonts w:ascii="Verdana" w:hAnsi="Verdana" w:cs="Verdana"/>
          <w:i/>
          <w:iCs/>
        </w:rPr>
        <w:t xml:space="preserve"> </w:t>
      </w:r>
      <w:r w:rsidRPr="00E4204B">
        <w:rPr>
          <w:rFonts w:ascii="Verdana" w:hAnsi="Verdana" w:cs="Verdana"/>
          <w:i/>
          <w:iCs/>
        </w:rPr>
        <w:t>periódicas y enfoques preventivos que priorizan la anticipación de problemas sobre la reacción a</w:t>
      </w:r>
      <w:r>
        <w:rPr>
          <w:rFonts w:ascii="Verdana" w:hAnsi="Verdana" w:cs="Verdana"/>
          <w:i/>
          <w:iCs/>
        </w:rPr>
        <w:t xml:space="preserve"> </w:t>
      </w:r>
      <w:r w:rsidRPr="00E4204B">
        <w:rPr>
          <w:rFonts w:ascii="Verdana" w:hAnsi="Verdana" w:cs="Verdana"/>
          <w:i/>
          <w:iCs/>
        </w:rPr>
        <w:t>eventos. La combinación de mayores recursos financieros, personal especializado, tecnologías</w:t>
      </w:r>
      <w:r>
        <w:rPr>
          <w:rFonts w:ascii="Verdana" w:hAnsi="Verdana" w:cs="Verdana"/>
          <w:i/>
          <w:iCs/>
        </w:rPr>
        <w:t xml:space="preserve"> </w:t>
      </w:r>
      <w:r w:rsidRPr="00E4204B">
        <w:rPr>
          <w:rFonts w:ascii="Verdana" w:hAnsi="Verdana" w:cs="Verdana"/>
          <w:i/>
          <w:iCs/>
        </w:rPr>
        <w:t xml:space="preserve">avanzadas y prácticas de gestión </w:t>
      </w:r>
      <w:r w:rsidRPr="00E4204B">
        <w:rPr>
          <w:rFonts w:ascii="Verdana" w:hAnsi="Verdana" w:cs="Verdana"/>
          <w:i/>
          <w:iCs/>
        </w:rPr>
        <w:lastRenderedPageBreak/>
        <w:t>estructuradas permite que las empresas de gran escala mantengan</w:t>
      </w:r>
      <w:r>
        <w:rPr>
          <w:rFonts w:ascii="Verdana" w:hAnsi="Verdana" w:cs="Verdana"/>
          <w:i/>
          <w:iCs/>
        </w:rPr>
        <w:t xml:space="preserve"> </w:t>
      </w:r>
      <w:r w:rsidRPr="00E4204B">
        <w:rPr>
          <w:rFonts w:ascii="Verdana" w:hAnsi="Verdana" w:cs="Verdana"/>
          <w:i/>
          <w:iCs/>
        </w:rPr>
        <w:t>niveles de pérdidas considerablemente menores (traducción propia) (IWA, 2025).</w:t>
      </w:r>
      <w:r>
        <w:rPr>
          <w:rFonts w:ascii="Verdana" w:hAnsi="Verdana" w:cs="Verdana"/>
          <w:i/>
          <w:iCs/>
        </w:rPr>
        <w:t>”</w:t>
      </w:r>
    </w:p>
    <w:p w14:paraId="03F6AA91" w14:textId="77777777" w:rsidR="008D6002" w:rsidRPr="00C972FE" w:rsidRDefault="008D6002" w:rsidP="001B3B76">
      <w:pPr>
        <w:jc w:val="both"/>
        <w:rPr>
          <w:rFonts w:ascii="Verdana" w:hAnsi="Verdana" w:cs="Verdana"/>
          <w:b/>
          <w:bCs/>
        </w:rPr>
      </w:pPr>
    </w:p>
    <w:p w14:paraId="28FA4223" w14:textId="77777777" w:rsidR="008D6002" w:rsidRPr="00967A02" w:rsidRDefault="008D6002" w:rsidP="00D45D9D">
      <w:pPr>
        <w:pStyle w:val="Textoindependiente"/>
        <w:numPr>
          <w:ilvl w:val="0"/>
          <w:numId w:val="9"/>
        </w:numPr>
        <w:rPr>
          <w:rFonts w:ascii="Verdana" w:hAnsi="Verdana"/>
          <w:i/>
          <w:iCs/>
        </w:rPr>
      </w:pPr>
      <w:r w:rsidRPr="00967A02">
        <w:rPr>
          <w:rFonts w:ascii="Verdana" w:hAnsi="Verdana"/>
          <w:i/>
          <w:iCs/>
        </w:rPr>
        <w:t>La justificación técnica de la Circular 01 de 2026, y las razones técnicas por las cuales dicha circular no modifica la regulación contenida en la Resolución 1032 de 2026.</w:t>
      </w:r>
    </w:p>
    <w:p w14:paraId="23C7FACE" w14:textId="77777777" w:rsidR="008D6002" w:rsidRDefault="008D6002" w:rsidP="001B3B76">
      <w:pPr>
        <w:pStyle w:val="Prrafodelista"/>
        <w:autoSpaceDE w:val="0"/>
        <w:adjustRightInd w:val="0"/>
        <w:ind w:left="360"/>
        <w:jc w:val="both"/>
        <w:rPr>
          <w:rFonts w:ascii="Verdana" w:hAnsi="Verdana" w:cs="Verdana"/>
          <w:b/>
          <w:bCs/>
          <w:i/>
          <w:iCs/>
        </w:rPr>
      </w:pPr>
    </w:p>
    <w:p w14:paraId="49ED6C41" w14:textId="77777777" w:rsidR="008D6002" w:rsidRPr="00315008" w:rsidRDefault="008D6002" w:rsidP="001B3B76">
      <w:pPr>
        <w:pStyle w:val="Prrafodelista"/>
        <w:autoSpaceDE w:val="0"/>
        <w:adjustRightInd w:val="0"/>
        <w:ind w:left="0"/>
        <w:jc w:val="both"/>
        <w:rPr>
          <w:rFonts w:ascii="Verdana" w:hAnsi="Verdana" w:cs="Verdana"/>
        </w:rPr>
      </w:pPr>
      <w:r w:rsidRPr="00315008">
        <w:rPr>
          <w:rFonts w:ascii="Verdana" w:hAnsi="Verdana" w:cs="Verdana"/>
        </w:rPr>
        <w:t>E</w:t>
      </w:r>
      <w:r>
        <w:rPr>
          <w:rFonts w:ascii="Verdana" w:hAnsi="Verdana" w:cs="Verdana"/>
        </w:rPr>
        <w:t>n primer lugar, se debe indic</w:t>
      </w:r>
      <w:r w:rsidRPr="00315008">
        <w:rPr>
          <w:rFonts w:ascii="Verdana" w:hAnsi="Verdana" w:cs="Verdana"/>
        </w:rPr>
        <w:t>ar que la Circular 1 de 2026 no altera el contenido de</w:t>
      </w:r>
      <w:r>
        <w:rPr>
          <w:rFonts w:ascii="Verdana" w:hAnsi="Verdana" w:cs="Verdana"/>
        </w:rPr>
        <w:t>l nuevo marco tarifario para grandes prestadores de acueducto y alcantarillado</w:t>
      </w:r>
      <w:r w:rsidRPr="00315008">
        <w:rPr>
          <w:rFonts w:ascii="Verdana" w:hAnsi="Verdana" w:cs="Verdana"/>
        </w:rPr>
        <w:t>, no modifica fórmulas, no redefine el universo de costos reconocibles ni crea nuevas obligaciones sustantivas. Por el contrario, se limita a precisar criterios de aplicación, aclarar la forma en que deben interpretarse ciertas disposiciones en escenarios específicos y facilitar la implementación de la metodología tarifaria desde su entrada en aplicación.</w:t>
      </w:r>
    </w:p>
    <w:p w14:paraId="345ED507" w14:textId="77777777" w:rsidR="008D6002" w:rsidRDefault="008D6002" w:rsidP="001B3B76">
      <w:pPr>
        <w:pStyle w:val="Prrafodelista"/>
        <w:autoSpaceDE w:val="0"/>
        <w:adjustRightInd w:val="0"/>
        <w:ind w:left="0"/>
        <w:jc w:val="both"/>
        <w:rPr>
          <w:rFonts w:ascii="Verdana" w:hAnsi="Verdana" w:cs="Verdana"/>
        </w:rPr>
      </w:pPr>
    </w:p>
    <w:p w14:paraId="351F3819" w14:textId="77777777" w:rsidR="008D6002" w:rsidRDefault="008D6002" w:rsidP="001B3B76">
      <w:pPr>
        <w:pStyle w:val="Prrafodelista"/>
        <w:autoSpaceDE w:val="0"/>
        <w:adjustRightInd w:val="0"/>
        <w:ind w:left="0"/>
        <w:jc w:val="both"/>
        <w:rPr>
          <w:rFonts w:ascii="Verdana" w:hAnsi="Verdana" w:cs="Verdana"/>
        </w:rPr>
      </w:pPr>
      <w:r w:rsidRPr="00315008">
        <w:rPr>
          <w:rFonts w:ascii="Verdana" w:hAnsi="Verdana" w:cs="Verdana"/>
        </w:rPr>
        <w:t xml:space="preserve">En </w:t>
      </w:r>
      <w:r>
        <w:rPr>
          <w:rFonts w:ascii="Verdana" w:hAnsi="Verdana" w:cs="Verdana"/>
        </w:rPr>
        <w:t>segundo lugar</w:t>
      </w:r>
      <w:r w:rsidRPr="00315008">
        <w:rPr>
          <w:rFonts w:ascii="Verdana" w:hAnsi="Verdana" w:cs="Verdana"/>
        </w:rPr>
        <w:t>,</w:t>
      </w:r>
      <w:r>
        <w:rPr>
          <w:rFonts w:ascii="Verdana" w:hAnsi="Verdana" w:cs="Verdana"/>
        </w:rPr>
        <w:t xml:space="preserve"> es preciso señalar que l</w:t>
      </w:r>
      <w:r w:rsidRPr="00315008">
        <w:rPr>
          <w:rFonts w:ascii="Verdana" w:hAnsi="Verdana" w:cs="Verdana"/>
        </w:rPr>
        <w:t xml:space="preserve">a Circular se fundamenta íntegramente en la Resolución y su contenido es consistente con esta, por lo cual no se presenta un escenario de contradicción normativa. </w:t>
      </w:r>
      <w:r>
        <w:rPr>
          <w:rFonts w:ascii="Verdana" w:hAnsi="Verdana" w:cs="Verdana"/>
        </w:rPr>
        <w:t>L</w:t>
      </w:r>
      <w:r w:rsidRPr="00315008">
        <w:rPr>
          <w:rFonts w:ascii="Verdana" w:hAnsi="Verdana" w:cs="Verdana"/>
        </w:rPr>
        <w:t>a Resolución constituye la fuente normativa principal y la Circular opera como un instrumento de orientación para su adecuada interpretación y aplicación.</w:t>
      </w:r>
      <w:r>
        <w:rPr>
          <w:rFonts w:ascii="Verdana" w:hAnsi="Verdana" w:cs="Verdana"/>
        </w:rPr>
        <w:t xml:space="preserve"> Por lo tanto, y dado que e</w:t>
      </w:r>
      <w:r w:rsidRPr="00315008">
        <w:rPr>
          <w:rFonts w:ascii="Verdana" w:hAnsi="Verdana" w:cs="Verdana"/>
        </w:rPr>
        <w:t xml:space="preserve">n ningún caso se sustituye el contenido de la norma </w:t>
      </w:r>
      <w:r>
        <w:rPr>
          <w:rFonts w:ascii="Verdana" w:hAnsi="Verdana" w:cs="Verdana"/>
        </w:rPr>
        <w:t>superior con la norma de menor jerarquía,</w:t>
      </w:r>
      <w:r w:rsidRPr="00315008">
        <w:rPr>
          <w:rFonts w:ascii="Verdana" w:hAnsi="Verdana" w:cs="Verdana"/>
        </w:rPr>
        <w:t xml:space="preserve"> no se configura una transgresión al principio de jerarquía normativa. La competencia de la Comisión como cuerpo colegiado se mantiene incólume, en la medida en que la regulación vigente no ha sido modificada, adicionada ni sustituida por la Circular.</w:t>
      </w:r>
    </w:p>
    <w:p w14:paraId="09B7E6A9" w14:textId="77777777" w:rsidR="008D6002" w:rsidRPr="00315008" w:rsidRDefault="008D6002" w:rsidP="001B3B76">
      <w:pPr>
        <w:pStyle w:val="Prrafodelista"/>
        <w:autoSpaceDE w:val="0"/>
        <w:adjustRightInd w:val="0"/>
        <w:ind w:left="0"/>
        <w:jc w:val="both"/>
        <w:rPr>
          <w:rFonts w:ascii="Verdana" w:hAnsi="Verdana" w:cs="Verdana"/>
        </w:rPr>
      </w:pPr>
    </w:p>
    <w:p w14:paraId="6F18911F" w14:textId="77777777" w:rsidR="008D6002" w:rsidRDefault="008D6002" w:rsidP="001B3B76">
      <w:pPr>
        <w:pStyle w:val="Prrafodelista"/>
        <w:autoSpaceDE w:val="0"/>
        <w:adjustRightInd w:val="0"/>
        <w:ind w:left="0"/>
        <w:jc w:val="both"/>
        <w:rPr>
          <w:rFonts w:ascii="Verdana" w:hAnsi="Verdana" w:cs="Verdana"/>
        </w:rPr>
      </w:pPr>
      <w:r w:rsidRPr="00315008">
        <w:rPr>
          <w:rFonts w:ascii="Verdana" w:hAnsi="Verdana" w:cs="Verdana"/>
        </w:rPr>
        <w:t xml:space="preserve">Las precisiones </w:t>
      </w:r>
      <w:r>
        <w:rPr>
          <w:rFonts w:ascii="Verdana" w:hAnsi="Verdana" w:cs="Verdana"/>
        </w:rPr>
        <w:t>dispuestas</w:t>
      </w:r>
      <w:r w:rsidRPr="00315008">
        <w:rPr>
          <w:rFonts w:ascii="Verdana" w:hAnsi="Verdana" w:cs="Verdana"/>
        </w:rPr>
        <w:t xml:space="preserve"> </w:t>
      </w:r>
      <w:r>
        <w:rPr>
          <w:rFonts w:ascii="Verdana" w:hAnsi="Verdana" w:cs="Verdana"/>
        </w:rPr>
        <w:t xml:space="preserve">en la Circular </w:t>
      </w:r>
      <w:r w:rsidRPr="00315008">
        <w:rPr>
          <w:rFonts w:ascii="Verdana" w:hAnsi="Verdana" w:cs="Verdana"/>
        </w:rPr>
        <w:t>no alteran las condiciones económicas de</w:t>
      </w:r>
      <w:r>
        <w:rPr>
          <w:rFonts w:ascii="Verdana" w:hAnsi="Verdana" w:cs="Verdana"/>
        </w:rPr>
        <w:t xml:space="preserve"> la estructura tarifaria</w:t>
      </w:r>
      <w:r w:rsidRPr="00315008">
        <w:rPr>
          <w:rFonts w:ascii="Verdana" w:hAnsi="Verdana" w:cs="Verdana"/>
        </w:rPr>
        <w:t xml:space="preserve"> ni introducen incertidumbre en la recuperación de costos, sino que buscan clarificar su aplicación, evitando riesgos de errores, omisiones o duplicidades.</w:t>
      </w:r>
    </w:p>
    <w:p w14:paraId="1C844727" w14:textId="77777777" w:rsidR="008D6002" w:rsidRPr="00315008" w:rsidRDefault="008D6002" w:rsidP="001B3B76">
      <w:pPr>
        <w:pStyle w:val="Prrafodelista"/>
        <w:autoSpaceDE w:val="0"/>
        <w:adjustRightInd w:val="0"/>
        <w:ind w:left="0"/>
        <w:jc w:val="both"/>
        <w:rPr>
          <w:rFonts w:ascii="Verdana" w:hAnsi="Verdana" w:cs="Verdana"/>
        </w:rPr>
      </w:pPr>
    </w:p>
    <w:p w14:paraId="19AA646F" w14:textId="77777777" w:rsidR="008D6002" w:rsidRDefault="008D6002" w:rsidP="001B3B76">
      <w:pPr>
        <w:pStyle w:val="Prrafodelista"/>
        <w:autoSpaceDE w:val="0"/>
        <w:adjustRightInd w:val="0"/>
        <w:ind w:left="0"/>
        <w:jc w:val="both"/>
        <w:rPr>
          <w:rFonts w:ascii="Verdana" w:hAnsi="Verdana" w:cs="Verdana"/>
        </w:rPr>
      </w:pPr>
      <w:r>
        <w:rPr>
          <w:rFonts w:ascii="Verdana" w:hAnsi="Verdana" w:cs="Verdana"/>
        </w:rPr>
        <w:t>Así las cosas</w:t>
      </w:r>
      <w:r w:rsidRPr="00315008">
        <w:rPr>
          <w:rFonts w:ascii="Verdana" w:hAnsi="Verdana" w:cs="Verdana"/>
        </w:rPr>
        <w:t xml:space="preserve">, </w:t>
      </w:r>
      <w:r>
        <w:rPr>
          <w:rFonts w:ascii="Verdana" w:hAnsi="Verdana" w:cs="Verdana"/>
        </w:rPr>
        <w:t>se</w:t>
      </w:r>
      <w:r w:rsidRPr="00315008">
        <w:rPr>
          <w:rFonts w:ascii="Verdana" w:hAnsi="Verdana" w:cs="Verdana"/>
        </w:rPr>
        <w:t xml:space="preserve"> reitera que la Circular CRA 1 de 2026 constituye un instrumento de orientación para la correcta, coherente y homogénea aplicación de la Resolución CRA 1032 de 2026.</w:t>
      </w:r>
    </w:p>
    <w:p w14:paraId="4099EDAF" w14:textId="77777777" w:rsidR="007144F4" w:rsidRDefault="007144F4" w:rsidP="001B3B76">
      <w:pPr>
        <w:pStyle w:val="Prrafodelista"/>
        <w:autoSpaceDE w:val="0"/>
        <w:adjustRightInd w:val="0"/>
        <w:ind w:left="0"/>
        <w:jc w:val="both"/>
        <w:rPr>
          <w:rFonts w:ascii="Verdana" w:hAnsi="Verdana" w:cs="Verdana"/>
        </w:rPr>
      </w:pPr>
    </w:p>
    <w:p w14:paraId="51C405C6" w14:textId="5ED66316" w:rsidR="006F4EEC" w:rsidRPr="006F4EEC" w:rsidRDefault="00437AE2" w:rsidP="006F4EEC">
      <w:pPr>
        <w:pStyle w:val="Prrafodelista"/>
        <w:autoSpaceDE w:val="0"/>
        <w:adjustRightInd w:val="0"/>
        <w:ind w:left="0"/>
        <w:jc w:val="both"/>
        <w:rPr>
          <w:rFonts w:ascii="Verdana" w:hAnsi="Verdana" w:cs="Verdana"/>
          <w:i/>
          <w:iCs/>
        </w:rPr>
      </w:pPr>
      <w:r>
        <w:rPr>
          <w:rFonts w:ascii="Verdana" w:hAnsi="Verdana" w:cs="Verdana"/>
        </w:rPr>
        <w:t>Ahora bien,</w:t>
      </w:r>
      <w:r w:rsidR="007144F4">
        <w:rPr>
          <w:rFonts w:ascii="Verdana" w:hAnsi="Verdana" w:cs="Verdana"/>
        </w:rPr>
        <w:t xml:space="preserve"> en lo que concierne a</w:t>
      </w:r>
      <w:r>
        <w:rPr>
          <w:rFonts w:ascii="Verdana" w:hAnsi="Verdana" w:cs="Verdana"/>
        </w:rPr>
        <w:t>l apoyo adicional, y puntualmente respecto de la</w:t>
      </w:r>
      <w:r w:rsidR="007144F4">
        <w:rPr>
          <w:rFonts w:ascii="Verdana" w:hAnsi="Verdana" w:cs="Verdana"/>
        </w:rPr>
        <w:t xml:space="preserve"> </w:t>
      </w:r>
      <w:r w:rsidR="00866372" w:rsidRPr="00866372">
        <w:rPr>
          <w:rFonts w:ascii="Verdana" w:hAnsi="Verdana" w:cs="Verdana"/>
          <w:i/>
          <w:iCs/>
        </w:rPr>
        <w:t>P</w:t>
      </w:r>
      <w:r w:rsidR="007144F4" w:rsidRPr="00866372">
        <w:rPr>
          <w:rFonts w:ascii="Verdana" w:hAnsi="Verdana" w:cs="Verdana"/>
          <w:i/>
          <w:iCs/>
        </w:rPr>
        <w:t>retensión segunda</w:t>
      </w:r>
      <w:r w:rsidR="006F4EEC">
        <w:rPr>
          <w:rFonts w:ascii="Verdana" w:hAnsi="Verdana" w:cs="Verdana"/>
        </w:rPr>
        <w:t xml:space="preserve">, referente a: </w:t>
      </w:r>
      <w:r w:rsidR="006F4EEC">
        <w:rPr>
          <w:rFonts w:ascii="Verdana" w:hAnsi="Verdana" w:cs="Verdana"/>
          <w:i/>
          <w:iCs/>
        </w:rPr>
        <w:t>“</w:t>
      </w:r>
      <w:r w:rsidR="006F4EEC" w:rsidRPr="006F4EEC">
        <w:rPr>
          <w:rFonts w:ascii="Verdana" w:hAnsi="Verdana" w:cs="Verdana"/>
          <w:i/>
          <w:iCs/>
        </w:rPr>
        <w:t>Que se ordene a la CRA y al MINVIVIENDA a otorgar un</w:t>
      </w:r>
      <w:r w:rsidR="006F4EEC" w:rsidRPr="006F4EEC">
        <w:rPr>
          <w:rFonts w:ascii="Verdana" w:hAnsi="Verdana" w:cs="Verdana"/>
          <w:i/>
          <w:iCs/>
        </w:rPr>
        <w:t xml:space="preserve"> </w:t>
      </w:r>
      <w:r w:rsidR="006F4EEC" w:rsidRPr="006F4EEC">
        <w:rPr>
          <w:rFonts w:ascii="Verdana" w:hAnsi="Verdana" w:cs="Verdana"/>
          <w:i/>
          <w:iCs/>
        </w:rPr>
        <w:t>plazo razonable para la implementación del nuevo marco tarifario y, dar</w:t>
      </w:r>
      <w:r w:rsidR="006F4EEC" w:rsidRPr="006F4EEC">
        <w:rPr>
          <w:rFonts w:ascii="Verdana" w:hAnsi="Verdana" w:cs="Verdana"/>
          <w:i/>
          <w:iCs/>
        </w:rPr>
        <w:t xml:space="preserve"> </w:t>
      </w:r>
      <w:r w:rsidR="006F4EEC" w:rsidRPr="006F4EEC">
        <w:rPr>
          <w:rFonts w:ascii="Verdana" w:hAnsi="Verdana" w:cs="Verdana"/>
          <w:i/>
          <w:iCs/>
        </w:rPr>
        <w:t>instrucciones claras y congruentes con la resolución 1032 de 2026 con el fin de</w:t>
      </w:r>
      <w:r w:rsidR="006F4EEC" w:rsidRPr="006F4EEC">
        <w:rPr>
          <w:rFonts w:ascii="Verdana" w:hAnsi="Verdana" w:cs="Verdana"/>
          <w:i/>
          <w:iCs/>
        </w:rPr>
        <w:t xml:space="preserve"> </w:t>
      </w:r>
      <w:r w:rsidR="006F4EEC" w:rsidRPr="006F4EEC">
        <w:rPr>
          <w:rFonts w:ascii="Verdana" w:hAnsi="Verdana" w:cs="Verdana"/>
          <w:i/>
          <w:iCs/>
        </w:rPr>
        <w:t>proteger los derechos colectivos al: (i) La moralidad administrativa; (</w:t>
      </w:r>
      <w:proofErr w:type="spellStart"/>
      <w:r w:rsidR="006F4EEC" w:rsidRPr="006F4EEC">
        <w:rPr>
          <w:rFonts w:ascii="Verdana" w:hAnsi="Verdana" w:cs="Verdana"/>
          <w:i/>
          <w:iCs/>
        </w:rPr>
        <w:t>ii</w:t>
      </w:r>
      <w:proofErr w:type="spellEnd"/>
      <w:r w:rsidR="006F4EEC" w:rsidRPr="006F4EEC">
        <w:rPr>
          <w:rFonts w:ascii="Verdana" w:hAnsi="Verdana" w:cs="Verdana"/>
          <w:i/>
          <w:iCs/>
        </w:rPr>
        <w:t>) La defensa</w:t>
      </w:r>
      <w:r w:rsidR="006F4EEC" w:rsidRPr="006F4EEC">
        <w:rPr>
          <w:rFonts w:ascii="Verdana" w:hAnsi="Verdana" w:cs="Verdana"/>
          <w:i/>
          <w:iCs/>
        </w:rPr>
        <w:t xml:space="preserve"> </w:t>
      </w:r>
      <w:r w:rsidR="006F4EEC" w:rsidRPr="006F4EEC">
        <w:rPr>
          <w:rFonts w:ascii="Verdana" w:hAnsi="Verdana" w:cs="Verdana"/>
          <w:i/>
          <w:iCs/>
        </w:rPr>
        <w:t>del patrimonio público; (</w:t>
      </w:r>
      <w:proofErr w:type="spellStart"/>
      <w:r w:rsidR="006F4EEC" w:rsidRPr="006F4EEC">
        <w:rPr>
          <w:rFonts w:ascii="Verdana" w:hAnsi="Verdana" w:cs="Verdana"/>
          <w:i/>
          <w:iCs/>
        </w:rPr>
        <w:t>iii</w:t>
      </w:r>
      <w:proofErr w:type="spellEnd"/>
      <w:r w:rsidR="006F4EEC" w:rsidRPr="006F4EEC">
        <w:rPr>
          <w:rFonts w:ascii="Verdana" w:hAnsi="Verdana" w:cs="Verdana"/>
          <w:i/>
          <w:iCs/>
        </w:rPr>
        <w:t>) El acceso a los servicios públicos y a que su prestación</w:t>
      </w:r>
      <w:r w:rsidR="006F4EEC" w:rsidRPr="006F4EEC">
        <w:rPr>
          <w:rFonts w:ascii="Verdana" w:hAnsi="Verdana" w:cs="Verdana"/>
          <w:i/>
          <w:iCs/>
        </w:rPr>
        <w:t xml:space="preserve"> </w:t>
      </w:r>
      <w:r w:rsidR="006F4EEC" w:rsidRPr="006F4EEC">
        <w:rPr>
          <w:rFonts w:ascii="Verdana" w:hAnsi="Verdana" w:cs="Verdana"/>
          <w:i/>
          <w:iCs/>
          <w:lang w:val="es-ES"/>
        </w:rPr>
        <w:t>sea eficiente y oportuna y; (</w:t>
      </w:r>
      <w:proofErr w:type="spellStart"/>
      <w:r w:rsidR="006F4EEC" w:rsidRPr="006F4EEC">
        <w:rPr>
          <w:rFonts w:ascii="Verdana" w:hAnsi="Verdana" w:cs="Verdana"/>
          <w:i/>
          <w:iCs/>
          <w:lang w:val="es-ES"/>
        </w:rPr>
        <w:t>iv</w:t>
      </w:r>
      <w:proofErr w:type="spellEnd"/>
      <w:r w:rsidR="006F4EEC" w:rsidRPr="006F4EEC">
        <w:rPr>
          <w:rFonts w:ascii="Verdana" w:hAnsi="Verdana" w:cs="Verdana"/>
          <w:i/>
          <w:iCs/>
          <w:lang w:val="es-ES"/>
        </w:rPr>
        <w:t>) La libre competencia económica.</w:t>
      </w:r>
      <w:r w:rsidR="006F4EEC">
        <w:rPr>
          <w:rFonts w:ascii="Verdana" w:hAnsi="Verdana" w:cs="Verdana"/>
          <w:i/>
          <w:iCs/>
          <w:lang w:val="es-ES"/>
        </w:rPr>
        <w:t>”</w:t>
      </w:r>
    </w:p>
    <w:p w14:paraId="2C3E284F" w14:textId="4927EB8E" w:rsidR="006F4EEC" w:rsidRDefault="006F4EEC" w:rsidP="006F4EEC">
      <w:pPr>
        <w:jc w:val="both"/>
        <w:rPr>
          <w:rFonts w:ascii="Verdana" w:hAnsi="Verdana" w:cs="Arial"/>
        </w:rPr>
      </w:pPr>
      <w:r>
        <w:rPr>
          <w:rFonts w:ascii="Verdana" w:hAnsi="Verdana" w:cs="Arial"/>
        </w:rPr>
        <w:lastRenderedPageBreak/>
        <w:t>Se debe señalar que p</w:t>
      </w:r>
      <w:r w:rsidRPr="00FB6A7E">
        <w:rPr>
          <w:rFonts w:ascii="Verdana" w:hAnsi="Verdana" w:cs="Arial"/>
        </w:rPr>
        <w:t>ara determinar la suficiencia del periodo comprendido entre la expedición de la Resolución CRA 1032 de 2026 y el 30 de junio de 2026, con miras al inicio de aplicación del nuevo marco tarifario el 1 de julio de 2026, se llevaron a cabo diversos análisis técnicos orientados a garantizar la viabilidad de su implementación en condiciones de progresividad y razonabilidad regulatoria.</w:t>
      </w:r>
    </w:p>
    <w:p w14:paraId="679D28A7" w14:textId="77777777" w:rsidR="006F4EEC" w:rsidRPr="00FB6A7E" w:rsidRDefault="006F4EEC" w:rsidP="006F4EEC">
      <w:pPr>
        <w:jc w:val="both"/>
        <w:rPr>
          <w:rFonts w:ascii="Verdana" w:hAnsi="Verdana" w:cs="Arial"/>
        </w:rPr>
      </w:pPr>
    </w:p>
    <w:p w14:paraId="132D733A" w14:textId="77777777" w:rsidR="006F4EEC" w:rsidRDefault="006F4EEC" w:rsidP="006F4EEC">
      <w:pPr>
        <w:jc w:val="both"/>
        <w:rPr>
          <w:rFonts w:ascii="Verdana" w:hAnsi="Verdana" w:cs="Arial"/>
        </w:rPr>
      </w:pPr>
      <w:r w:rsidRPr="00FB6A7E">
        <w:rPr>
          <w:rFonts w:ascii="Verdana" w:hAnsi="Verdana" w:cs="Arial"/>
        </w:rPr>
        <w:t xml:space="preserve">En primer lugar, se consideró que, para el periodo de inicio, los prestadores deben calcular los costos medios de administración (CMA) y los costos medios de operación (CMO) utilizando información correspondiente al año 2024. En este sentido, al tratarse de información </w:t>
      </w:r>
      <w:r>
        <w:rPr>
          <w:rFonts w:ascii="Verdana" w:hAnsi="Verdana" w:cs="Arial"/>
        </w:rPr>
        <w:t>anterior a</w:t>
      </w:r>
      <w:r w:rsidRPr="00FB6A7E">
        <w:rPr>
          <w:rFonts w:ascii="Verdana" w:hAnsi="Verdana" w:cs="Arial"/>
        </w:rPr>
        <w:t xml:space="preserve"> dos años, se evaluó que dichos datos ya deben encontrarse reportados, validados y disponibles en el Sistema Único de Información (SUI), lo que reduce significativamente la carga operativa asociada a la recolección y procesamiento de información para efectos del cálculo tarifario inicial.</w:t>
      </w:r>
    </w:p>
    <w:p w14:paraId="51AA2267" w14:textId="77777777" w:rsidR="006F4EEC" w:rsidRPr="00FB6A7E" w:rsidRDefault="006F4EEC" w:rsidP="006F4EEC">
      <w:pPr>
        <w:jc w:val="both"/>
        <w:rPr>
          <w:rFonts w:ascii="Verdana" w:hAnsi="Verdana" w:cs="Arial"/>
        </w:rPr>
      </w:pPr>
    </w:p>
    <w:p w14:paraId="06F6BB50" w14:textId="77777777" w:rsidR="006F4EEC" w:rsidRDefault="006F4EEC" w:rsidP="006F4EEC">
      <w:pPr>
        <w:jc w:val="both"/>
        <w:rPr>
          <w:rFonts w:ascii="Verdana" w:hAnsi="Verdana" w:cs="Arial"/>
        </w:rPr>
      </w:pPr>
      <w:r w:rsidRPr="00FB6A7E">
        <w:rPr>
          <w:rFonts w:ascii="Verdana" w:hAnsi="Verdana" w:cs="Arial"/>
        </w:rPr>
        <w:t xml:space="preserve">En segundo lugar, respecto del puntaje de eficiencia, se definió que durante el periodo de inicio este corresponda al cien por ciento (100%) de manera general para todos los prestadores, lo cual simplifica de forma importante el cálculo del costo económico de referencia, en tanto no se requiere la aplicación de metodologías complejas como los modelos de Análisis Envolvente de Datos (DEA) en esta fase. </w:t>
      </w:r>
    </w:p>
    <w:p w14:paraId="427CA323" w14:textId="77777777" w:rsidR="006F4EEC" w:rsidRPr="00FB6A7E" w:rsidRDefault="006F4EEC" w:rsidP="006F4EEC">
      <w:pPr>
        <w:jc w:val="both"/>
        <w:rPr>
          <w:rFonts w:ascii="Verdana" w:hAnsi="Verdana" w:cs="Arial"/>
        </w:rPr>
      </w:pPr>
    </w:p>
    <w:p w14:paraId="1843F5CA" w14:textId="77777777" w:rsidR="002F06B6" w:rsidRDefault="006F4EEC" w:rsidP="006F4EEC">
      <w:pPr>
        <w:jc w:val="both"/>
        <w:rPr>
          <w:rFonts w:ascii="Verdana" w:hAnsi="Verdana" w:cs="Arial"/>
        </w:rPr>
      </w:pPr>
      <w:r w:rsidRPr="00FB6A7E">
        <w:rPr>
          <w:rFonts w:ascii="Verdana" w:hAnsi="Verdana" w:cs="Arial"/>
        </w:rPr>
        <w:t xml:space="preserve">En tercer lugar, para el cálculo de la Base de Capital Regulada inicial (BCR0), la Comisión analizó que los prestadores </w:t>
      </w:r>
      <w:r>
        <w:rPr>
          <w:rFonts w:ascii="Verdana" w:hAnsi="Verdana" w:cs="Arial"/>
        </w:rPr>
        <w:t xml:space="preserve">realizaron </w:t>
      </w:r>
      <w:r w:rsidRPr="00FB6A7E">
        <w:rPr>
          <w:rFonts w:ascii="Verdana" w:hAnsi="Verdana" w:cs="Arial"/>
        </w:rPr>
        <w:t>este ejercicio bajo el marco tarifario anterior contenido en la Resolución CRA 688 de 2014. Por lo tanto, no se exige la reconstrucción integral de la base de activos, sino una actualización, depuración y validación de la información previamente reportada, lo cual facilita el proceso de cálculo y reduce los tiempos requeridos.</w:t>
      </w:r>
      <w:r>
        <w:rPr>
          <w:rFonts w:ascii="Verdana" w:hAnsi="Verdana" w:cs="Arial"/>
        </w:rPr>
        <w:t xml:space="preserve"> </w:t>
      </w:r>
    </w:p>
    <w:p w14:paraId="5DFBC86C" w14:textId="77777777" w:rsidR="002F06B6" w:rsidRDefault="002F06B6" w:rsidP="006F4EEC">
      <w:pPr>
        <w:jc w:val="both"/>
        <w:rPr>
          <w:rFonts w:ascii="Verdana" w:hAnsi="Verdana" w:cs="Arial"/>
        </w:rPr>
      </w:pPr>
    </w:p>
    <w:p w14:paraId="7CDD8B45" w14:textId="2A2A447E" w:rsidR="006F4EEC" w:rsidRDefault="006F4EEC" w:rsidP="006F4EEC">
      <w:pPr>
        <w:jc w:val="both"/>
        <w:rPr>
          <w:rFonts w:ascii="Verdana" w:hAnsi="Verdana" w:cs="Arial"/>
        </w:rPr>
      </w:pPr>
      <w:r w:rsidRPr="00FB6A7E">
        <w:rPr>
          <w:rFonts w:ascii="Verdana" w:hAnsi="Verdana" w:cs="Arial"/>
        </w:rPr>
        <w:t>En línea con lo anterior, se definió que el valor de los activos administrativos y operativos corresponderá al registrado en los estados financieros, debidamente depreciado a 30 de junio de 2026, sin incluir valorizaciones, y actualizado a pesos de diciembre de 2025, lo que permite utilizar información contable disponible y verificable.</w:t>
      </w:r>
      <w:r w:rsidR="002F06B6">
        <w:rPr>
          <w:rFonts w:ascii="Verdana" w:hAnsi="Verdana" w:cs="Arial"/>
        </w:rPr>
        <w:t xml:space="preserve"> </w:t>
      </w:r>
      <w:r w:rsidRPr="00FB6A7E">
        <w:rPr>
          <w:rFonts w:ascii="Verdana" w:hAnsi="Verdana" w:cs="Arial"/>
        </w:rPr>
        <w:t xml:space="preserve">De igual forma, la metodología contempla la posibilidad de utilizar proyecciones para estimar la BCR0 a dicha fecha, empleando la última información disponible de metros cúbicos facturados y aplicando criterios técnicos razonables. </w:t>
      </w:r>
    </w:p>
    <w:p w14:paraId="5A34C449" w14:textId="77777777" w:rsidR="006F4EEC" w:rsidRPr="00FB6A7E" w:rsidRDefault="006F4EEC" w:rsidP="006F4EEC">
      <w:pPr>
        <w:jc w:val="both"/>
        <w:rPr>
          <w:rFonts w:ascii="Verdana" w:hAnsi="Verdana" w:cs="Arial"/>
        </w:rPr>
      </w:pPr>
    </w:p>
    <w:p w14:paraId="23ADA645" w14:textId="355B05DA" w:rsidR="00CA2A39" w:rsidRPr="00D55FBA" w:rsidRDefault="006F4EEC" w:rsidP="006F4EEC">
      <w:pPr>
        <w:pStyle w:val="Textoindependiente"/>
        <w:rPr>
          <w:rFonts w:ascii="Verdana" w:hAnsi="Verdana"/>
        </w:rPr>
      </w:pPr>
      <w:r w:rsidRPr="00FB6A7E">
        <w:rPr>
          <w:rFonts w:ascii="Verdana" w:hAnsi="Verdana"/>
        </w:rPr>
        <w:t xml:space="preserve">Adicionalmente, la Comisión estructuró el esquema de implementación bajo la figura del periodo de inicio, comprendido entre el 1 de julio y el 31 de diciembre de 2026, con el propósito de permitir un empalme ordenado entre el marco tarifario anterior y el nuevo, armonizar la aplicación tarifaria con el </w:t>
      </w:r>
      <w:r>
        <w:rPr>
          <w:rFonts w:ascii="Verdana" w:hAnsi="Verdana"/>
        </w:rPr>
        <w:t xml:space="preserve">año fiscal </w:t>
      </w:r>
      <w:r w:rsidRPr="00FB6A7E">
        <w:rPr>
          <w:rFonts w:ascii="Verdana" w:hAnsi="Verdana"/>
        </w:rPr>
        <w:t xml:space="preserve">y facilitar la preparación de los cálculos correspondientes al primer año tarifario (2027). En consecuencia, este </w:t>
      </w:r>
      <w:r w:rsidRPr="00D55FBA">
        <w:rPr>
          <w:rFonts w:ascii="Verdana" w:hAnsi="Verdana"/>
        </w:rPr>
        <w:lastRenderedPageBreak/>
        <w:t>periodo no exige la aplicación plena de todos los componentes metodológicos, sino que constituye una fase de implementación gradual.</w:t>
      </w:r>
    </w:p>
    <w:p w14:paraId="57D078D6" w14:textId="77777777" w:rsidR="00CA2A39" w:rsidRPr="00D55FBA" w:rsidRDefault="00CA2A39" w:rsidP="001B3B76">
      <w:pPr>
        <w:pStyle w:val="Textoindependiente"/>
        <w:rPr>
          <w:rFonts w:ascii="Verdana" w:hAnsi="Verdana"/>
        </w:rPr>
      </w:pPr>
    </w:p>
    <w:p w14:paraId="06643D71" w14:textId="20362089" w:rsidR="00866372" w:rsidRPr="00D55FBA" w:rsidRDefault="00E06608" w:rsidP="001B3B76">
      <w:pPr>
        <w:pStyle w:val="Textoindependiente"/>
        <w:rPr>
          <w:rFonts w:ascii="Verdana" w:hAnsi="Verdana"/>
        </w:rPr>
      </w:pPr>
      <w:r w:rsidRPr="00D55FBA">
        <w:rPr>
          <w:rFonts w:ascii="Verdana" w:hAnsi="Verdana"/>
        </w:rPr>
        <w:t>Por su parte,</w:t>
      </w:r>
      <w:r w:rsidR="00866372" w:rsidRPr="00D55FBA">
        <w:rPr>
          <w:rFonts w:ascii="Verdana" w:hAnsi="Verdana"/>
        </w:rPr>
        <w:t xml:space="preserve"> </w:t>
      </w:r>
      <w:r w:rsidR="00866372" w:rsidRPr="00D55FBA">
        <w:rPr>
          <w:rFonts w:ascii="Verdana" w:hAnsi="Verdana"/>
        </w:rPr>
        <w:t xml:space="preserve">las </w:t>
      </w:r>
      <w:r w:rsidR="00866372" w:rsidRPr="00D55FBA">
        <w:rPr>
          <w:rFonts w:ascii="Verdana" w:hAnsi="Verdana"/>
          <w:i/>
          <w:iCs/>
        </w:rPr>
        <w:t>Pretensiones tercera y cuarta</w:t>
      </w:r>
      <w:r w:rsidR="00866372" w:rsidRPr="00D55FBA">
        <w:rPr>
          <w:rStyle w:val="Refdenotaalpie"/>
          <w:rFonts w:ascii="Verdana" w:hAnsi="Verdana"/>
        </w:rPr>
        <w:footnoteReference w:id="2"/>
      </w:r>
      <w:r w:rsidR="00866372" w:rsidRPr="00D55FBA">
        <w:rPr>
          <w:rFonts w:ascii="Verdana" w:hAnsi="Verdana"/>
        </w:rPr>
        <w:t xml:space="preserve"> fueron atendidas previamente en las respuestas a los puntos 2 y 4. </w:t>
      </w:r>
    </w:p>
    <w:p w14:paraId="62A5579C" w14:textId="77777777" w:rsidR="00866372" w:rsidRPr="00D55FBA" w:rsidRDefault="00866372" w:rsidP="001B3B76">
      <w:pPr>
        <w:pStyle w:val="Textoindependiente"/>
        <w:rPr>
          <w:rFonts w:ascii="Verdana" w:hAnsi="Verdana"/>
        </w:rPr>
      </w:pPr>
    </w:p>
    <w:p w14:paraId="73B8866D" w14:textId="3BE0F4ED" w:rsidR="00CA2A39" w:rsidRPr="00D55FBA" w:rsidRDefault="00E06608" w:rsidP="001B3B76">
      <w:pPr>
        <w:pStyle w:val="Textoindependiente"/>
        <w:rPr>
          <w:rFonts w:ascii="Verdana" w:hAnsi="Verdana"/>
        </w:rPr>
      </w:pPr>
      <w:r w:rsidRPr="00D55FBA">
        <w:rPr>
          <w:rFonts w:ascii="Verdana" w:hAnsi="Verdana"/>
        </w:rPr>
        <w:t>Finalmente, e</w:t>
      </w:r>
      <w:r w:rsidR="00866372" w:rsidRPr="00D55FBA">
        <w:rPr>
          <w:rFonts w:ascii="Verdana" w:hAnsi="Verdana"/>
        </w:rPr>
        <w:t xml:space="preserve">sta Subdirección queda atenta a apoyar técnicamente </w:t>
      </w:r>
      <w:r w:rsidR="00D55FBA" w:rsidRPr="00D55FBA">
        <w:rPr>
          <w:rFonts w:ascii="Verdana" w:hAnsi="Verdana"/>
        </w:rPr>
        <w:t xml:space="preserve">a la Oficina Asesora Jurídica </w:t>
      </w:r>
      <w:r w:rsidR="00866372" w:rsidRPr="00D55FBA">
        <w:rPr>
          <w:rFonts w:ascii="Verdana" w:hAnsi="Verdana"/>
        </w:rPr>
        <w:t xml:space="preserve">para la contestación de </w:t>
      </w:r>
      <w:r w:rsidR="00D55FBA">
        <w:rPr>
          <w:rFonts w:ascii="Verdana" w:hAnsi="Verdana"/>
        </w:rPr>
        <w:t xml:space="preserve">los demás asuntos de </w:t>
      </w:r>
      <w:r w:rsidR="00866372" w:rsidRPr="00D55FBA">
        <w:rPr>
          <w:rFonts w:ascii="Verdana" w:hAnsi="Verdana"/>
        </w:rPr>
        <w:t xml:space="preserve">la </w:t>
      </w:r>
      <w:r w:rsidR="00D55FBA" w:rsidRPr="00D55FBA">
        <w:rPr>
          <w:rFonts w:ascii="Verdana" w:hAnsi="Verdana"/>
        </w:rPr>
        <w:t>acción popular objeto de este memorando</w:t>
      </w:r>
      <w:r w:rsidR="00866372" w:rsidRPr="00D55FBA">
        <w:rPr>
          <w:rFonts w:ascii="Verdana" w:hAnsi="Verdana"/>
        </w:rPr>
        <w:t>.</w:t>
      </w:r>
    </w:p>
    <w:p w14:paraId="0909F7E4" w14:textId="77777777" w:rsidR="00A97D28" w:rsidRPr="00D55FBA" w:rsidRDefault="00A97D28" w:rsidP="001B3B76">
      <w:pPr>
        <w:rPr>
          <w:rFonts w:ascii="Verdana" w:hAnsi="Verdana" w:cs="Arial"/>
        </w:rPr>
      </w:pPr>
    </w:p>
    <w:p w14:paraId="27A21DB0" w14:textId="4BF68177" w:rsidR="00A35AF2" w:rsidRPr="00D55FBA" w:rsidRDefault="00A35AF2" w:rsidP="001B3B76">
      <w:pPr>
        <w:rPr>
          <w:rFonts w:ascii="Verdana" w:hAnsi="Verdana" w:cs="Arial"/>
        </w:rPr>
      </w:pPr>
      <w:r w:rsidRPr="00D55FBA">
        <w:rPr>
          <w:rFonts w:ascii="Verdana" w:hAnsi="Verdana" w:cs="Arial"/>
        </w:rPr>
        <w:t>Cordial saludo,</w:t>
      </w:r>
    </w:p>
    <w:p w14:paraId="63CC4226" w14:textId="77777777" w:rsidR="00A35AF2" w:rsidRPr="00D55FBA" w:rsidRDefault="00A35AF2" w:rsidP="001B3B76">
      <w:pPr>
        <w:rPr>
          <w:rFonts w:ascii="Verdana" w:hAnsi="Verdana" w:cs="Arial"/>
        </w:rPr>
      </w:pPr>
    </w:p>
    <w:p w14:paraId="0C75EE13" w14:textId="77777777" w:rsidR="00A35AF2" w:rsidRPr="00D55FBA" w:rsidRDefault="00A35AF2" w:rsidP="001B3B76">
      <w:pPr>
        <w:rPr>
          <w:rFonts w:ascii="Verdana" w:hAnsi="Verdana" w:cs="Arial"/>
        </w:rPr>
      </w:pPr>
    </w:p>
    <w:p w14:paraId="3B476154" w14:textId="77777777" w:rsidR="00A35AF2" w:rsidRPr="00D55FBA" w:rsidRDefault="00A35AF2" w:rsidP="001B3B76">
      <w:pPr>
        <w:rPr>
          <w:rFonts w:ascii="Verdana" w:hAnsi="Verdana" w:cs="Arial"/>
        </w:rPr>
      </w:pPr>
    </w:p>
    <w:p w14:paraId="6DF4DEA5" w14:textId="77777777" w:rsidR="00A35AF2" w:rsidRPr="00D55FBA" w:rsidRDefault="00A35AF2" w:rsidP="00A35AF2">
      <w:pPr>
        <w:jc w:val="both"/>
        <w:rPr>
          <w:rFonts w:ascii="Verdana" w:hAnsi="Verdana" w:cs="Arial"/>
        </w:rPr>
      </w:pPr>
      <w:r w:rsidRPr="00D55FBA">
        <w:rPr>
          <w:rFonts w:ascii="Verdana" w:hAnsi="Verdana" w:cs="Arial"/>
        </w:rPr>
        <w:t xml:space="preserve">JULIO CÉSAR GARCÍA LÓPEZ </w:t>
      </w:r>
    </w:p>
    <w:p w14:paraId="660E5DBE" w14:textId="77777777" w:rsidR="00A35AF2" w:rsidRPr="00D55FBA" w:rsidRDefault="00A35AF2" w:rsidP="00A35AF2">
      <w:pPr>
        <w:jc w:val="both"/>
        <w:rPr>
          <w:rFonts w:ascii="Verdana" w:eastAsia="Arial Unicode MS" w:hAnsi="Verdana" w:cs="Arial"/>
          <w:kern w:val="3"/>
          <w:lang w:val="es"/>
        </w:rPr>
      </w:pPr>
      <w:r w:rsidRPr="00D55FBA">
        <w:rPr>
          <w:rFonts w:ascii="Verdana" w:eastAsia="Arial Unicode MS" w:hAnsi="Verdana" w:cs="Arial"/>
          <w:kern w:val="3"/>
          <w:lang w:val="es"/>
        </w:rPr>
        <w:t>Subdirector de Regulación (E)</w:t>
      </w:r>
    </w:p>
    <w:p w14:paraId="2CB71D38" w14:textId="44072D79" w:rsidR="00A97D28" w:rsidRPr="00D55FBA" w:rsidRDefault="00A97D28" w:rsidP="001B3B76">
      <w:pPr>
        <w:rPr>
          <w:rFonts w:ascii="Verdana" w:hAnsi="Verdana" w:cs="Arial"/>
        </w:rPr>
      </w:pPr>
    </w:p>
    <w:p w14:paraId="07E8A65E" w14:textId="77777777" w:rsidR="00A97D28" w:rsidRDefault="00A97D28" w:rsidP="001B3B76">
      <w:pPr>
        <w:rPr>
          <w:rFonts w:ascii="Arial" w:hAnsi="Arial" w:cs="Arial"/>
          <w:sz w:val="20"/>
        </w:rPr>
      </w:pPr>
    </w:p>
    <w:p w14:paraId="413E77AA" w14:textId="77777777" w:rsidR="00844A73" w:rsidRDefault="00844A73" w:rsidP="001B3B76">
      <w:pPr>
        <w:rPr>
          <w:rFonts w:ascii="Arial" w:hAnsi="Arial" w:cs="Arial"/>
          <w:sz w:val="20"/>
        </w:rPr>
      </w:pPr>
    </w:p>
    <w:p w14:paraId="37D8E893" w14:textId="77777777" w:rsidR="00844A73" w:rsidRDefault="00844A73" w:rsidP="001B3B76">
      <w:pPr>
        <w:rPr>
          <w:rFonts w:ascii="Arial" w:hAnsi="Arial" w:cs="Arial"/>
          <w:sz w:val="14"/>
          <w:szCs w:val="14"/>
        </w:rPr>
      </w:pPr>
    </w:p>
    <w:p w14:paraId="06316C75" w14:textId="22429711" w:rsidR="00A97D28" w:rsidRPr="00F55E1D" w:rsidRDefault="00D111CA" w:rsidP="001B3B76">
      <w:pPr>
        <w:rPr>
          <w:rFonts w:ascii="Verdana" w:hAnsi="Verdana" w:cs="Arial"/>
          <w:sz w:val="14"/>
          <w:szCs w:val="14"/>
        </w:rPr>
      </w:pPr>
      <w:r w:rsidRPr="00F55E1D">
        <w:rPr>
          <w:rFonts w:ascii="Verdana" w:hAnsi="Verdana" w:cs="Arial"/>
          <w:sz w:val="14"/>
          <w:szCs w:val="14"/>
        </w:rPr>
        <w:t xml:space="preserve">Elaboró: </w:t>
      </w:r>
      <w:r w:rsidR="00A35AF2">
        <w:rPr>
          <w:rFonts w:ascii="Verdana" w:hAnsi="Verdana" w:cs="Arial"/>
          <w:sz w:val="14"/>
          <w:szCs w:val="14"/>
        </w:rPr>
        <w:t>Dalix Gutiérrez Fuentes</w:t>
      </w:r>
    </w:p>
    <w:p w14:paraId="311A74E9" w14:textId="30D70DE4" w:rsidR="00A97D28" w:rsidRPr="00F55E1D" w:rsidRDefault="00A35AF2" w:rsidP="001B3B76">
      <w:pPr>
        <w:rPr>
          <w:rFonts w:ascii="Verdana" w:hAnsi="Verdana" w:cs="Arial"/>
          <w:sz w:val="14"/>
          <w:szCs w:val="14"/>
        </w:rPr>
      </w:pPr>
      <w:r>
        <w:rPr>
          <w:rFonts w:ascii="Verdana" w:hAnsi="Verdana" w:cs="Arial"/>
          <w:sz w:val="14"/>
          <w:szCs w:val="14"/>
        </w:rPr>
        <w:t>Aprob</w:t>
      </w:r>
      <w:r w:rsidR="00D111CA" w:rsidRPr="00F55E1D">
        <w:rPr>
          <w:rFonts w:ascii="Verdana" w:hAnsi="Verdana" w:cs="Arial"/>
          <w:sz w:val="14"/>
          <w:szCs w:val="14"/>
        </w:rPr>
        <w:t xml:space="preserve">ó: </w:t>
      </w:r>
      <w:r>
        <w:rPr>
          <w:rFonts w:ascii="Verdana" w:hAnsi="Verdana" w:cs="Arial"/>
          <w:sz w:val="14"/>
          <w:szCs w:val="14"/>
        </w:rPr>
        <w:t>Santiago Vargas</w:t>
      </w:r>
    </w:p>
    <w:p w14:paraId="5F03CF28" w14:textId="77777777" w:rsidR="00A97D28" w:rsidRDefault="00A97D28" w:rsidP="001B3B76">
      <w:pPr>
        <w:rPr>
          <w:rFonts w:ascii="Arial" w:hAnsi="Arial" w:cs="Arial"/>
        </w:rPr>
      </w:pPr>
    </w:p>
    <w:sectPr w:rsidR="00A97D28" w:rsidSect="00C42DD6">
      <w:headerReference w:type="default" r:id="rId11"/>
      <w:footerReference w:type="default" r:id="rId12"/>
      <w:pgSz w:w="12240" w:h="15840"/>
      <w:pgMar w:top="2835" w:right="1418" w:bottom="1134" w:left="1418" w:header="56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32861" w14:textId="77777777" w:rsidR="008645D9" w:rsidRDefault="008645D9">
      <w:r>
        <w:separator/>
      </w:r>
    </w:p>
  </w:endnote>
  <w:endnote w:type="continuationSeparator" w:id="0">
    <w:p w14:paraId="1821D7C6" w14:textId="77777777" w:rsidR="008645D9" w:rsidRDefault="00864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altName w:val="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Free 3 of 9">
    <w:altName w:val="Calibri"/>
    <w:panose1 w:val="00000009000000000000"/>
    <w:charset w:val="00"/>
    <w:family w:val="moder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3AB3D" w14:textId="77777777" w:rsidR="00C0206F" w:rsidRDefault="00D111CA">
    <w:pPr>
      <w:pStyle w:val="Piedepgina"/>
      <w:snapToGrid w:val="0"/>
    </w:pPr>
    <w:r>
      <w:rPr>
        <w:rFonts w:ascii="Arial" w:hAnsi="Arial" w:cs="Arial"/>
        <w:noProof/>
        <w:sz w:val="16"/>
        <w:lang w:eastAsia="es-ES"/>
      </w:rPr>
      <mc:AlternateContent>
        <mc:Choice Requires="wps">
          <w:drawing>
            <wp:anchor distT="0" distB="0" distL="114300" distR="114300" simplePos="0" relativeHeight="251663360" behindDoc="0" locked="0" layoutInCell="1" allowOverlap="1" wp14:anchorId="0DF3DF8A" wp14:editId="5FD35D6A">
              <wp:simplePos x="0" y="0"/>
              <wp:positionH relativeFrom="column">
                <wp:posOffset>3705221</wp:posOffset>
              </wp:positionH>
              <wp:positionV relativeFrom="paragraph">
                <wp:posOffset>-913128</wp:posOffset>
              </wp:positionV>
              <wp:extent cx="631" cy="0"/>
              <wp:effectExtent l="0" t="0" r="0" b="0"/>
              <wp:wrapNone/>
              <wp:docPr id="3" name="AutoShape 16"/>
              <wp:cNvGraphicFramePr/>
              <a:graphic xmlns:a="http://schemas.openxmlformats.org/drawingml/2006/main">
                <a:graphicData uri="http://schemas.microsoft.com/office/word/2010/wordprocessingShape">
                  <wps:wsp>
                    <wps:cNvCnPr/>
                    <wps:spPr>
                      <a:xfrm>
                        <a:off x="0" y="0"/>
                        <a:ext cx="631" cy="0"/>
                      </a:xfrm>
                      <a:prstGeom prst="straightConnector1">
                        <a:avLst/>
                      </a:prstGeom>
                      <a:noFill/>
                      <a:ln w="9528">
                        <a:solidFill>
                          <a:srgbClr val="000000"/>
                        </a:solidFill>
                        <a:prstDash val="solid"/>
                        <a:round/>
                      </a:ln>
                    </wps:spPr>
                    <wps:bodyPr/>
                  </wps:wsp>
                </a:graphicData>
              </a:graphic>
            </wp:anchor>
          </w:drawing>
        </mc:Choice>
        <mc:Fallback xmlns:a="http://schemas.openxmlformats.org/drawingml/2006/main">
          <w:pict>
            <v:shapetype id="_x0000_t32" coordsize="21600,21600" o:oned="t" filled="f" o:spt="32" path="m,l21600,21600e" w14:anchorId="77C1358B">
              <v:path fillok="f" arrowok="t" o:connecttype="none"/>
              <o:lock v:ext="edit" shapetype="t"/>
            </v:shapetype>
            <v:shape id="AutoShape 16" style="position:absolute;margin-left:291.75pt;margin-top:-71.9pt;width:.05pt;height:0;z-index:251663360;visibility:visible;mso-wrap-style:square;mso-wrap-distance-left:9pt;mso-wrap-distance-top:0;mso-wrap-distance-right:9pt;mso-wrap-distance-bottom:0;mso-position-horizontal:absolute;mso-position-horizontal-relative:text;mso-position-vertical:absolute;mso-position-vertical-relative:text" o:spid="_x0000_s1026" strokeweight=".26467mm"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"/>
          </w:pict>
        </mc:Fallback>
      </mc:AlternateContent>
    </w:r>
    <w:r>
      <w:rPr>
        <w:rFonts w:ascii="Arial" w:hAnsi="Arial" w:cs="Arial"/>
        <w:sz w:val="16"/>
      </w:rPr>
      <w:t>________________________________________________________________________________</w:t>
    </w:r>
    <w:r w:rsidR="009666D1">
      <w:rPr>
        <w:rFonts w:ascii="Arial" w:hAnsi="Arial" w:cs="Arial"/>
        <w:sz w:val="16"/>
      </w:rPr>
      <w:t>_________________________</w:t>
    </w:r>
  </w:p>
  <w:p w14:paraId="3A102A36" w14:textId="77777777" w:rsidR="0065088C" w:rsidRPr="00EE72FF" w:rsidRDefault="0065088C" w:rsidP="0065088C">
    <w:pPr>
      <w:spacing w:line="276" w:lineRule="auto"/>
      <w:jc w:val="both"/>
      <w:rPr>
        <w:rFonts w:ascii="Verdana" w:hAnsi="Verdana"/>
        <w:b/>
        <w:bCs/>
        <w:sz w:val="20"/>
        <w:szCs w:val="20"/>
      </w:rPr>
    </w:pPr>
    <w:r>
      <w:rPr>
        <w:rFonts w:ascii="Verdana" w:hAnsi="Verdana"/>
        <w:b/>
        <w:bCs/>
        <w:sz w:val="20"/>
        <w:szCs w:val="20"/>
      </w:rPr>
      <w:t>Comisión de Regulación de Agua Potable y Saneamiento Básico</w:t>
    </w:r>
  </w:p>
  <w:p w14:paraId="19303F86" w14:textId="09679325" w:rsidR="0065088C" w:rsidRPr="00EE72FF" w:rsidRDefault="0065088C" w:rsidP="0065088C">
    <w:pPr>
      <w:spacing w:line="276" w:lineRule="auto"/>
      <w:jc w:val="both"/>
      <w:rPr>
        <w:rFonts w:ascii="Verdana" w:hAnsi="Verdana"/>
        <w:sz w:val="20"/>
        <w:szCs w:val="20"/>
      </w:rPr>
    </w:pPr>
    <w:r w:rsidRPr="00EE72FF">
      <w:rPr>
        <w:rFonts w:ascii="Verdana" w:hAnsi="Verdana"/>
        <w:sz w:val="20"/>
        <w:szCs w:val="20"/>
      </w:rPr>
      <w:t xml:space="preserve">Dirección: Carrera </w:t>
    </w:r>
    <w:r>
      <w:rPr>
        <w:rFonts w:ascii="Verdana" w:hAnsi="Verdana"/>
        <w:sz w:val="20"/>
        <w:szCs w:val="20"/>
      </w:rPr>
      <w:t>12</w:t>
    </w:r>
    <w:r w:rsidRPr="00EE72FF">
      <w:rPr>
        <w:rFonts w:ascii="Verdana" w:hAnsi="Verdana"/>
        <w:sz w:val="20"/>
        <w:szCs w:val="20"/>
      </w:rPr>
      <w:t xml:space="preserve"> No.</w:t>
    </w:r>
    <w:r>
      <w:rPr>
        <w:rFonts w:ascii="Verdana" w:hAnsi="Verdana"/>
        <w:sz w:val="20"/>
        <w:szCs w:val="20"/>
      </w:rPr>
      <w:t>9</w:t>
    </w:r>
    <w:r w:rsidRPr="00EE72FF">
      <w:rPr>
        <w:rFonts w:ascii="Verdana" w:hAnsi="Verdana"/>
        <w:sz w:val="20"/>
        <w:szCs w:val="20"/>
      </w:rPr>
      <w:t xml:space="preserve">7 </w:t>
    </w:r>
    <w:r>
      <w:rPr>
        <w:rFonts w:ascii="Verdana" w:hAnsi="Verdana"/>
        <w:sz w:val="20"/>
        <w:szCs w:val="20"/>
      </w:rPr>
      <w:t>– 80</w:t>
    </w:r>
    <w:r w:rsidR="008F516C">
      <w:rPr>
        <w:rFonts w:ascii="Verdana" w:hAnsi="Verdana"/>
        <w:sz w:val="20"/>
        <w:szCs w:val="20"/>
      </w:rPr>
      <w:t>,</w:t>
    </w:r>
    <w:r>
      <w:rPr>
        <w:rFonts w:ascii="Verdana" w:hAnsi="Verdana"/>
        <w:sz w:val="20"/>
        <w:szCs w:val="20"/>
      </w:rPr>
      <w:t xml:space="preserve"> piso 2</w:t>
    </w:r>
    <w:r w:rsidR="008F516C">
      <w:rPr>
        <w:rFonts w:ascii="Verdana" w:hAnsi="Verdana"/>
        <w:sz w:val="20"/>
        <w:szCs w:val="20"/>
      </w:rPr>
      <w:t>.</w:t>
    </w:r>
    <w:r w:rsidRPr="00EE72FF">
      <w:rPr>
        <w:rFonts w:ascii="Verdana" w:hAnsi="Verdana"/>
        <w:sz w:val="20"/>
        <w:szCs w:val="20"/>
      </w:rPr>
      <w:t xml:space="preserve"> Bogotá</w:t>
    </w:r>
    <w:r w:rsidR="00740634">
      <w:rPr>
        <w:rFonts w:ascii="Verdana" w:hAnsi="Verdana"/>
        <w:sz w:val="20"/>
        <w:szCs w:val="20"/>
      </w:rPr>
      <w:t>,</w:t>
    </w:r>
    <w:r w:rsidRPr="00EE72FF">
      <w:rPr>
        <w:rFonts w:ascii="Verdana" w:hAnsi="Verdana"/>
        <w:sz w:val="20"/>
        <w:szCs w:val="20"/>
      </w:rPr>
      <w:t xml:space="preserve"> D.C., Colombia</w:t>
    </w:r>
  </w:p>
  <w:p w14:paraId="3A3DED22" w14:textId="7CA6B0DA" w:rsidR="0065088C" w:rsidRDefault="0065088C" w:rsidP="0065088C">
    <w:pPr>
      <w:spacing w:line="276" w:lineRule="auto"/>
      <w:jc w:val="both"/>
      <w:rPr>
        <w:rFonts w:ascii="Verdana" w:hAnsi="Verdana"/>
        <w:sz w:val="20"/>
        <w:szCs w:val="20"/>
      </w:rPr>
    </w:pPr>
    <w:r w:rsidRPr="00EE72FF">
      <w:rPr>
        <w:rFonts w:ascii="Verdana" w:hAnsi="Verdana"/>
        <w:sz w:val="20"/>
        <w:szCs w:val="20"/>
      </w:rPr>
      <w:t xml:space="preserve">Conmutador: (+57) 601 </w:t>
    </w:r>
    <w:r>
      <w:rPr>
        <w:rFonts w:ascii="Verdana" w:hAnsi="Verdana"/>
        <w:sz w:val="20"/>
        <w:szCs w:val="20"/>
      </w:rPr>
      <w:t>4873</w:t>
    </w:r>
    <w:r w:rsidR="00F55E1D">
      <w:rPr>
        <w:rFonts w:ascii="Verdana" w:hAnsi="Verdana"/>
        <w:sz w:val="20"/>
        <w:szCs w:val="20"/>
      </w:rPr>
      <w:t>8</w:t>
    </w:r>
    <w:r>
      <w:rPr>
        <w:rFonts w:ascii="Verdana" w:hAnsi="Verdana"/>
        <w:sz w:val="20"/>
        <w:szCs w:val="20"/>
      </w:rPr>
      <w:t>20</w:t>
    </w:r>
    <w:r w:rsidR="00D67B70">
      <w:rPr>
        <w:rFonts w:ascii="Verdana" w:hAnsi="Verdana"/>
        <w:sz w:val="20"/>
        <w:szCs w:val="20"/>
      </w:rPr>
      <w:t xml:space="preserve"> - </w:t>
    </w:r>
    <w:r w:rsidRPr="00EE72FF">
      <w:rPr>
        <w:rFonts w:ascii="Verdana" w:hAnsi="Verdana"/>
        <w:sz w:val="20"/>
        <w:szCs w:val="20"/>
      </w:rPr>
      <w:t xml:space="preserve">Línea Gratuita: (+57) 01 8000 </w:t>
    </w:r>
    <w:r>
      <w:rPr>
        <w:rFonts w:ascii="Verdana" w:hAnsi="Verdana"/>
        <w:sz w:val="20"/>
        <w:szCs w:val="20"/>
      </w:rPr>
      <w:t>517565</w:t>
    </w:r>
  </w:p>
  <w:p w14:paraId="3F31B6FC" w14:textId="77777777" w:rsidR="00D67B70" w:rsidRPr="00D67B70" w:rsidRDefault="00D67B70" w:rsidP="00D67B70">
    <w:pPr>
      <w:spacing w:line="276" w:lineRule="auto"/>
      <w:jc w:val="both"/>
      <w:rPr>
        <w:rFonts w:ascii="Verdana" w:hAnsi="Verdana"/>
        <w:sz w:val="20"/>
        <w:szCs w:val="20"/>
      </w:rPr>
    </w:pPr>
    <w:r w:rsidRPr="00D67B70">
      <w:rPr>
        <w:rFonts w:ascii="Verdana" w:hAnsi="Verdana"/>
        <w:color w:val="000000"/>
        <w:sz w:val="20"/>
        <w:szCs w:val="20"/>
      </w:rPr>
      <w:t>correo@cra.gov.co - www.cra.gov.co</w:t>
    </w:r>
  </w:p>
  <w:p w14:paraId="53DB9480" w14:textId="77777777" w:rsidR="00D67B70" w:rsidRPr="00EE72FF" w:rsidRDefault="00D67B70" w:rsidP="0065088C">
    <w:pPr>
      <w:spacing w:line="276" w:lineRule="auto"/>
      <w:jc w:val="both"/>
      <w:rPr>
        <w:rFonts w:ascii="Verdana" w:hAnsi="Verdana"/>
        <w:sz w:val="20"/>
        <w:szCs w:val="20"/>
      </w:rPr>
    </w:pPr>
  </w:p>
  <w:p w14:paraId="7E434A12" w14:textId="77777777" w:rsidR="00C0206F" w:rsidRDefault="00C0206F">
    <w:pPr>
      <w:ind w:right="260"/>
      <w:rPr>
        <w:color w:val="0F243E"/>
        <w:sz w:val="26"/>
        <w:szCs w:val="26"/>
      </w:rPr>
    </w:pPr>
  </w:p>
  <w:p w14:paraId="767D9483" w14:textId="77777777" w:rsidR="00C0206F" w:rsidRDefault="00C0206F">
    <w:pPr>
      <w:pStyle w:val="Piedepgina"/>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36C4C" w14:textId="77777777" w:rsidR="008645D9" w:rsidRDefault="008645D9">
      <w:r>
        <w:rPr>
          <w:color w:val="000000"/>
        </w:rPr>
        <w:separator/>
      </w:r>
    </w:p>
  </w:footnote>
  <w:footnote w:type="continuationSeparator" w:id="0">
    <w:p w14:paraId="27DCE04F" w14:textId="77777777" w:rsidR="008645D9" w:rsidRDefault="008645D9">
      <w:r>
        <w:continuationSeparator/>
      </w:r>
    </w:p>
  </w:footnote>
  <w:footnote w:id="1">
    <w:p w14:paraId="1A96D9AC" w14:textId="073A1C09" w:rsidR="00DE5932" w:rsidRPr="00511E79" w:rsidRDefault="00DE5932" w:rsidP="00DE5932">
      <w:pPr>
        <w:pStyle w:val="Textonotapie"/>
        <w:jc w:val="both"/>
        <w:rPr>
          <w:sz w:val="17"/>
          <w:szCs w:val="17"/>
        </w:rPr>
      </w:pPr>
      <w:r w:rsidRPr="00511E79">
        <w:rPr>
          <w:rStyle w:val="Refdenotaalpie"/>
          <w:sz w:val="17"/>
          <w:szCs w:val="17"/>
        </w:rPr>
        <w:footnoteRef/>
      </w:r>
      <w:r w:rsidRPr="00511E79">
        <w:rPr>
          <w:sz w:val="17"/>
          <w:szCs w:val="17"/>
        </w:rPr>
        <w:t xml:space="preserve"> El </w:t>
      </w:r>
      <w:r w:rsidRPr="00511E79">
        <w:rPr>
          <w:rFonts w:ascii="Verdana" w:hAnsi="Verdana"/>
          <w:sz w:val="17"/>
          <w:szCs w:val="17"/>
        </w:rPr>
        <w:t>documento de respuesta a las</w:t>
      </w:r>
      <w:r w:rsidR="00511E79">
        <w:rPr>
          <w:rFonts w:ascii="Verdana" w:hAnsi="Verdana"/>
          <w:sz w:val="17"/>
          <w:szCs w:val="17"/>
        </w:rPr>
        <w:t xml:space="preserve"> observaciones</w:t>
      </w:r>
      <w:r w:rsidRPr="00511E79">
        <w:rPr>
          <w:rFonts w:ascii="Verdana" w:hAnsi="Verdana"/>
          <w:sz w:val="17"/>
          <w:szCs w:val="17"/>
        </w:rPr>
        <w:t xml:space="preserve"> y su matriz de consolidación se encuentran disponibles al público en el enlace web: </w:t>
      </w:r>
      <w:hyperlink r:id="rId1" w:history="1">
        <w:r w:rsidRPr="00511E79">
          <w:rPr>
            <w:rStyle w:val="Hipervnculo"/>
            <w:rFonts w:ascii="Verdana" w:hAnsi="Verdana" w:cs="Calibri"/>
            <w:sz w:val="17"/>
            <w:szCs w:val="17"/>
          </w:rPr>
          <w:t>https://www.cra.gov.co/prensa/noticias/resolucion-1032-2026-nuevo-marco-tarifario-acueducto-alcantarillado-grandes-prestadores</w:t>
        </w:r>
      </w:hyperlink>
    </w:p>
  </w:footnote>
  <w:footnote w:id="2">
    <w:p w14:paraId="275F0AF4" w14:textId="0F20ADAE" w:rsidR="00866372" w:rsidRPr="00527EBC" w:rsidRDefault="00866372" w:rsidP="00866372">
      <w:pPr>
        <w:pStyle w:val="Textonotapie"/>
        <w:jc w:val="both"/>
        <w:rPr>
          <w:rFonts w:ascii="Verdana" w:hAnsi="Verdana"/>
          <w:sz w:val="17"/>
          <w:szCs w:val="17"/>
        </w:rPr>
      </w:pPr>
      <w:r w:rsidRPr="00527EBC">
        <w:rPr>
          <w:rStyle w:val="Refdenotaalpie"/>
          <w:rFonts w:ascii="Verdana" w:hAnsi="Verdana"/>
          <w:sz w:val="17"/>
          <w:szCs w:val="17"/>
        </w:rPr>
        <w:footnoteRef/>
      </w:r>
      <w:r w:rsidRPr="00527EBC">
        <w:rPr>
          <w:rFonts w:ascii="Verdana" w:hAnsi="Verdana"/>
          <w:sz w:val="17"/>
          <w:szCs w:val="17"/>
        </w:rPr>
        <w:t xml:space="preserve"> “</w:t>
      </w:r>
      <w:r w:rsidRPr="00527EBC">
        <w:rPr>
          <w:rFonts w:ascii="Verdana" w:hAnsi="Verdana"/>
          <w:sz w:val="17"/>
          <w:szCs w:val="17"/>
        </w:rPr>
        <w:t>Pretensión tercera: Que se ordene a la CRA y al MINVIVIENDA que realicen la</w:t>
      </w:r>
      <w:r w:rsidRPr="00527EBC">
        <w:rPr>
          <w:rFonts w:ascii="Verdana" w:hAnsi="Verdana"/>
          <w:sz w:val="17"/>
          <w:szCs w:val="17"/>
        </w:rPr>
        <w:t xml:space="preserve"> </w:t>
      </w:r>
      <w:r w:rsidRPr="00527EBC">
        <w:rPr>
          <w:rFonts w:ascii="Verdana" w:hAnsi="Verdana"/>
          <w:sz w:val="17"/>
          <w:szCs w:val="17"/>
        </w:rPr>
        <w:t>modificación de la Resolución No. 1032 de 2026 con el fin de no vulnerar el derecho</w:t>
      </w:r>
      <w:r w:rsidRPr="00527EBC">
        <w:rPr>
          <w:rFonts w:ascii="Verdana" w:hAnsi="Verdana"/>
          <w:sz w:val="17"/>
          <w:szCs w:val="17"/>
        </w:rPr>
        <w:t xml:space="preserve"> </w:t>
      </w:r>
      <w:r w:rsidRPr="00527EBC">
        <w:rPr>
          <w:rFonts w:ascii="Verdana" w:hAnsi="Verdana"/>
          <w:sz w:val="17"/>
          <w:szCs w:val="17"/>
        </w:rPr>
        <w:t>colectivo a la libre competencia, particularmente en lo relacionado con: (i) los</w:t>
      </w:r>
      <w:r w:rsidRPr="00527EBC">
        <w:rPr>
          <w:rFonts w:ascii="Verdana" w:hAnsi="Verdana"/>
          <w:sz w:val="17"/>
          <w:szCs w:val="17"/>
        </w:rPr>
        <w:t xml:space="preserve"> </w:t>
      </w:r>
      <w:r w:rsidRPr="00527EBC">
        <w:rPr>
          <w:rFonts w:ascii="Verdana" w:hAnsi="Verdana"/>
          <w:sz w:val="17"/>
          <w:szCs w:val="17"/>
        </w:rPr>
        <w:t>criterios de segmentación de prestadores; (</w:t>
      </w:r>
      <w:proofErr w:type="spellStart"/>
      <w:r w:rsidRPr="00527EBC">
        <w:rPr>
          <w:rFonts w:ascii="Verdana" w:hAnsi="Verdana"/>
          <w:sz w:val="17"/>
          <w:szCs w:val="17"/>
        </w:rPr>
        <w:t>ii</w:t>
      </w:r>
      <w:proofErr w:type="spellEnd"/>
      <w:r w:rsidRPr="00527EBC">
        <w:rPr>
          <w:rFonts w:ascii="Verdana" w:hAnsi="Verdana"/>
          <w:sz w:val="17"/>
          <w:szCs w:val="17"/>
        </w:rPr>
        <w:t>) el reconocimiento de la tasa de</w:t>
      </w:r>
      <w:r w:rsidRPr="00527EBC">
        <w:rPr>
          <w:rFonts w:ascii="Verdana" w:hAnsi="Verdana"/>
          <w:sz w:val="17"/>
          <w:szCs w:val="17"/>
        </w:rPr>
        <w:t xml:space="preserve"> </w:t>
      </w:r>
      <w:r w:rsidRPr="00527EBC">
        <w:rPr>
          <w:rFonts w:ascii="Verdana" w:hAnsi="Verdana"/>
          <w:sz w:val="17"/>
          <w:szCs w:val="17"/>
        </w:rPr>
        <w:t>remuneración del capital (WACC); y (</w:t>
      </w:r>
      <w:proofErr w:type="spellStart"/>
      <w:r w:rsidRPr="00527EBC">
        <w:rPr>
          <w:rFonts w:ascii="Verdana" w:hAnsi="Verdana"/>
          <w:sz w:val="17"/>
          <w:szCs w:val="17"/>
        </w:rPr>
        <w:t>iii</w:t>
      </w:r>
      <w:proofErr w:type="spellEnd"/>
      <w:r w:rsidRPr="00527EBC">
        <w:rPr>
          <w:rFonts w:ascii="Verdana" w:hAnsi="Verdana"/>
          <w:sz w:val="17"/>
          <w:szCs w:val="17"/>
        </w:rPr>
        <w:t>) la gradualidad en el índice de pérdidas</w:t>
      </w:r>
      <w:r w:rsidRPr="00527EBC">
        <w:rPr>
          <w:rFonts w:ascii="Verdana" w:hAnsi="Verdana"/>
          <w:sz w:val="17"/>
          <w:szCs w:val="17"/>
        </w:rPr>
        <w:t xml:space="preserve"> </w:t>
      </w:r>
      <w:r w:rsidRPr="00527EBC">
        <w:rPr>
          <w:rFonts w:ascii="Verdana" w:hAnsi="Verdana"/>
          <w:sz w:val="17"/>
          <w:szCs w:val="17"/>
        </w:rPr>
        <w:t>(IPUF), de manera que se restablezca la neutralidad competitiva en el mercado.</w:t>
      </w:r>
    </w:p>
    <w:p w14:paraId="552DCF7A" w14:textId="77777777" w:rsidR="00866372" w:rsidRPr="00527EBC" w:rsidRDefault="00866372" w:rsidP="00866372">
      <w:pPr>
        <w:pStyle w:val="Textonotapie"/>
        <w:jc w:val="both"/>
        <w:rPr>
          <w:rFonts w:ascii="Verdana" w:hAnsi="Verdana"/>
          <w:sz w:val="17"/>
          <w:szCs w:val="17"/>
        </w:rPr>
      </w:pPr>
    </w:p>
    <w:p w14:paraId="2AC96C60" w14:textId="68945287" w:rsidR="00866372" w:rsidRPr="00866372" w:rsidRDefault="00866372" w:rsidP="00866372">
      <w:pPr>
        <w:pStyle w:val="Textonotapie"/>
        <w:jc w:val="both"/>
        <w:rPr>
          <w:rFonts w:ascii="Verdana" w:hAnsi="Verdana"/>
          <w:sz w:val="18"/>
          <w:szCs w:val="18"/>
        </w:rPr>
      </w:pPr>
      <w:r w:rsidRPr="00527EBC">
        <w:rPr>
          <w:rFonts w:ascii="Verdana" w:hAnsi="Verdana"/>
          <w:sz w:val="17"/>
          <w:szCs w:val="17"/>
        </w:rPr>
        <w:t>Pretensión cuarta: Que se ordene a la CRA y al MINVIVIENDA que realicen la</w:t>
      </w:r>
      <w:r w:rsidRPr="00527EBC">
        <w:rPr>
          <w:rFonts w:ascii="Verdana" w:hAnsi="Verdana"/>
          <w:sz w:val="17"/>
          <w:szCs w:val="17"/>
        </w:rPr>
        <w:t xml:space="preserve"> </w:t>
      </w:r>
      <w:r w:rsidRPr="00527EBC">
        <w:rPr>
          <w:rFonts w:ascii="Verdana" w:hAnsi="Verdana"/>
          <w:sz w:val="17"/>
          <w:szCs w:val="17"/>
        </w:rPr>
        <w:t>modificación de la Resolución No. 1032 de 2026 con el fin de incluir las</w:t>
      </w:r>
      <w:r w:rsidRPr="00527EBC">
        <w:rPr>
          <w:rFonts w:ascii="Verdana" w:hAnsi="Verdana"/>
          <w:sz w:val="17"/>
          <w:szCs w:val="17"/>
        </w:rPr>
        <w:t xml:space="preserve"> </w:t>
      </w:r>
      <w:r w:rsidRPr="00527EBC">
        <w:rPr>
          <w:rFonts w:ascii="Verdana" w:hAnsi="Verdana"/>
          <w:sz w:val="17"/>
          <w:szCs w:val="17"/>
        </w:rPr>
        <w:t>recomendaciones realizadas por la Superintendencia de Industria y Comercio</w:t>
      </w:r>
      <w:r w:rsidRPr="00527EBC">
        <w:rPr>
          <w:rFonts w:ascii="Verdana" w:hAnsi="Verdana"/>
          <w:sz w:val="17"/>
          <w:szCs w:val="17"/>
        </w:rPr>
        <w:t xml:space="preserve"> </w:t>
      </w:r>
      <w:r w:rsidRPr="00527EBC">
        <w:rPr>
          <w:rFonts w:ascii="Verdana" w:hAnsi="Verdana"/>
          <w:sz w:val="17"/>
          <w:szCs w:val="17"/>
        </w:rPr>
        <w:t>mediante el Concepto de Abogacía de la Competencia No. 26-53254 o, en su</w:t>
      </w:r>
      <w:r w:rsidRPr="00527EBC">
        <w:rPr>
          <w:rFonts w:ascii="Verdana" w:hAnsi="Verdana"/>
          <w:sz w:val="17"/>
          <w:szCs w:val="17"/>
        </w:rPr>
        <w:t xml:space="preserve"> </w:t>
      </w:r>
      <w:r w:rsidRPr="00527EBC">
        <w:rPr>
          <w:rFonts w:ascii="Verdana" w:hAnsi="Verdana"/>
          <w:sz w:val="17"/>
          <w:szCs w:val="17"/>
        </w:rPr>
        <w:t>defecto, explicar las razones por las cuales se decide no acoger dicho concepto.</w:t>
      </w:r>
      <w:r w:rsidRPr="00527EBC">
        <w:rPr>
          <w:rFonts w:ascii="Verdana" w:hAnsi="Verdana"/>
          <w:sz w:val="17"/>
          <w:szCs w:val="17"/>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0808A" w14:textId="2CC79537" w:rsidR="00C0206F" w:rsidRDefault="00C0206F">
    <w:pPr>
      <w:pStyle w:val="Encabezado"/>
    </w:pPr>
  </w:p>
  <w:p w14:paraId="76BFD59E" w14:textId="65493B31" w:rsidR="00C0206F" w:rsidRDefault="00C0206F">
    <w:pPr>
      <w:pStyle w:val="Encabezado"/>
    </w:pPr>
  </w:p>
  <w:p w14:paraId="3873040A" w14:textId="3871242D" w:rsidR="00C0206F" w:rsidRDefault="00C0206F">
    <w:pPr>
      <w:pStyle w:val="Encabezado"/>
    </w:pPr>
  </w:p>
  <w:p w14:paraId="2F6EC4EE" w14:textId="7CC624D6" w:rsidR="00C0206F" w:rsidRDefault="00D111CA">
    <w:r>
      <w:tab/>
    </w:r>
  </w:p>
  <w:p w14:paraId="4785BB5F" w14:textId="46A4402F" w:rsidR="00C0206F" w:rsidRPr="00740634" w:rsidRDefault="004C2138">
    <w:pPr>
      <w:pStyle w:val="Textoindependiente"/>
      <w:jc w:val="center"/>
      <w:rPr>
        <w:b/>
        <w:lang w:val="en-US"/>
      </w:rPr>
    </w:pPr>
    <w:r>
      <w:rPr>
        <w:b/>
        <w:noProof/>
        <w:sz w:val="20"/>
        <w:szCs w:val="20"/>
        <w:lang w:val="en-US"/>
      </w:rPr>
      <w:drawing>
        <wp:anchor distT="0" distB="0" distL="114300" distR="114300" simplePos="0" relativeHeight="251664384" behindDoc="0" locked="0" layoutInCell="1" allowOverlap="1" wp14:anchorId="468639D8" wp14:editId="0C4CB788">
          <wp:simplePos x="0" y="0"/>
          <wp:positionH relativeFrom="margin">
            <wp:align>center</wp:align>
          </wp:positionH>
          <wp:positionV relativeFrom="paragraph">
            <wp:posOffset>5715</wp:posOffset>
          </wp:positionV>
          <wp:extent cx="479606" cy="694602"/>
          <wp:effectExtent l="0" t="0" r="0" b="0"/>
          <wp:wrapNone/>
          <wp:docPr id="116333693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336930" name="Imagen 1163336930"/>
                  <pic:cNvPicPr/>
                </pic:nvPicPr>
                <pic:blipFill>
                  <a:blip r:embed="rId1">
                    <a:extLst>
                      <a:ext uri="{28A0092B-C50C-407E-A947-70E740481C1C}">
                        <a14:useLocalDpi xmlns:a14="http://schemas.microsoft.com/office/drawing/2010/main" val="0"/>
                      </a:ext>
                    </a:extLst>
                  </a:blip>
                  <a:stretch>
                    <a:fillRect/>
                  </a:stretch>
                </pic:blipFill>
                <pic:spPr>
                  <a:xfrm>
                    <a:off x="0" y="0"/>
                    <a:ext cx="479606" cy="694602"/>
                  </a:xfrm>
                  <a:prstGeom prst="rect">
                    <a:avLst/>
                  </a:prstGeom>
                </pic:spPr>
              </pic:pic>
            </a:graphicData>
          </a:graphic>
          <wp14:sizeRelH relativeFrom="page">
            <wp14:pctWidth>0</wp14:pctWidth>
          </wp14:sizeRelH>
          <wp14:sizeRelV relativeFrom="page">
            <wp14:pctHeight>0</wp14:pctHeight>
          </wp14:sizeRelV>
        </wp:anchor>
      </w:drawing>
    </w:r>
  </w:p>
  <w:p w14:paraId="70720E57" w14:textId="6C1A43B4" w:rsidR="00C0206F" w:rsidRPr="00740634" w:rsidRDefault="00D111CA" w:rsidP="004C2138">
    <w:pPr>
      <w:pStyle w:val="Textoindependiente"/>
      <w:jc w:val="right"/>
      <w:rPr>
        <w:rFonts w:ascii="Verdana" w:hAnsi="Verdana"/>
        <w:b/>
        <w:lang w:val="en-US"/>
      </w:rPr>
    </w:pPr>
    <w:r w:rsidRPr="00740634">
      <w:rPr>
        <w:rFonts w:ascii="Verdana" w:hAnsi="Verdana"/>
        <w:b/>
        <w:lang w:val="en-US"/>
      </w:rPr>
      <w:t>MEMORANDO</w:t>
    </w:r>
  </w:p>
  <w:p w14:paraId="629D0FD9" w14:textId="474F6A91" w:rsidR="00C0206F" w:rsidRPr="00740634" w:rsidRDefault="00760BBA" w:rsidP="004C2138">
    <w:pPr>
      <w:pStyle w:val="Textoindependiente"/>
      <w:jc w:val="right"/>
      <w:rPr>
        <w:rFonts w:ascii="Verdana" w:hAnsi="Verdana"/>
        <w:sz w:val="40"/>
        <w:lang w:val="en-US"/>
      </w:rPr>
    </w:pPr>
    <w:r w:rsidRPr="00C85264">
      <w:rPr>
        <w:rFonts w:ascii="Free 3 of 9" w:hAnsi="Free 3 of 9"/>
        <w:sz w:val="52"/>
        <w:szCs w:val="32"/>
        <w:lang w:val="en-US"/>
      </w:rPr>
      <w:t>**RAD_S**</w:t>
    </w:r>
  </w:p>
  <w:p w14:paraId="27840DE0" w14:textId="5CCDD68A" w:rsidR="004C2138" w:rsidRPr="00740634" w:rsidRDefault="00D111CA" w:rsidP="004C2138">
    <w:pPr>
      <w:pStyle w:val="Textoindependiente"/>
      <w:jc w:val="right"/>
      <w:rPr>
        <w:rFonts w:ascii="Verdana" w:hAnsi="Verdana"/>
        <w:lang w:val="en-US"/>
      </w:rPr>
    </w:pPr>
    <w:r w:rsidRPr="00740634">
      <w:rPr>
        <w:rFonts w:ascii="Verdana" w:hAnsi="Verdana"/>
        <w:b/>
        <w:lang w:val="en-US"/>
      </w:rPr>
      <w:t xml:space="preserve">*RAD_S*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53F"/>
    <w:multiLevelType w:val="hybridMultilevel"/>
    <w:tmpl w:val="C088D696"/>
    <w:lvl w:ilvl="0" w:tplc="FFFFFFFF">
      <w:start w:val="1"/>
      <w:numFmt w:val="bullet"/>
      <w:lvlText w:val="•"/>
      <w:lvlJc w:val="left"/>
      <w:pPr>
        <w:ind w:left="720" w:hanging="360"/>
      </w:p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ED11570"/>
    <w:multiLevelType w:val="hybridMultilevel"/>
    <w:tmpl w:val="44747AD4"/>
    <w:lvl w:ilvl="0" w:tplc="FFFFFFFF">
      <w:start w:val="1"/>
      <w:numFmt w:val="bullet"/>
      <w:lvlText w:val="•"/>
      <w:lvlJc w:val="left"/>
      <w:pPr>
        <w:ind w:left="720" w:hanging="360"/>
      </w:p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393299"/>
    <w:multiLevelType w:val="hybridMultilevel"/>
    <w:tmpl w:val="AD52B388"/>
    <w:lvl w:ilvl="0" w:tplc="F9E200DA">
      <w:start w:val="1"/>
      <w:numFmt w:val="decimal"/>
      <w:lvlText w:val="%1."/>
      <w:lvlJc w:val="left"/>
      <w:pPr>
        <w:ind w:left="720" w:hanging="360"/>
      </w:pPr>
      <w:rPr>
        <w:rFonts w:hint="default"/>
        <w:b w:val="0"/>
        <w:bCs/>
        <w: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2037B0E"/>
    <w:multiLevelType w:val="hybridMultilevel"/>
    <w:tmpl w:val="20AA5AFA"/>
    <w:lvl w:ilvl="0" w:tplc="F9E200DA">
      <w:start w:val="1"/>
      <w:numFmt w:val="decimal"/>
      <w:lvlText w:val="%1."/>
      <w:lvlJc w:val="left"/>
      <w:pPr>
        <w:ind w:left="786" w:hanging="360"/>
      </w:pPr>
      <w:rPr>
        <w:rFonts w:hint="default"/>
        <w:b w:val="0"/>
        <w:bCs/>
        <w:i/>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4" w15:restartNumberingAfterBreak="0">
    <w:nsid w:val="28712D21"/>
    <w:multiLevelType w:val="hybridMultilevel"/>
    <w:tmpl w:val="EF982606"/>
    <w:lvl w:ilvl="0" w:tplc="FFFFFFFF">
      <w:start w:val="1"/>
      <w:numFmt w:val="bullet"/>
      <w:lvlText w:val="•"/>
      <w:lvlJc w:val="left"/>
      <w:pPr>
        <w:ind w:left="720" w:hanging="360"/>
      </w:p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9205A40"/>
    <w:multiLevelType w:val="hybridMultilevel"/>
    <w:tmpl w:val="403812B6"/>
    <w:lvl w:ilvl="0" w:tplc="FFFFFFFF">
      <w:start w:val="1"/>
      <w:numFmt w:val="bullet"/>
      <w:lvlText w:val="•"/>
      <w:lvlJc w:val="left"/>
      <w:pPr>
        <w:ind w:left="720" w:hanging="360"/>
      </w:p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3B844F0"/>
    <w:multiLevelType w:val="hybridMultilevel"/>
    <w:tmpl w:val="0582B96C"/>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85256AC"/>
    <w:multiLevelType w:val="multilevel"/>
    <w:tmpl w:val="22CA0220"/>
    <w:lvl w:ilvl="0">
      <w:start w:val="1"/>
      <w:numFmt w:val="decimal"/>
      <w:lvlText w:val="%1."/>
      <w:lvlJc w:val="left"/>
      <w:pPr>
        <w:ind w:left="720" w:hanging="360"/>
      </w:pPr>
      <w:rPr>
        <w:rFonts w:hint="default"/>
      </w:rPr>
    </w:lvl>
    <w:lvl w:ilvl="1">
      <w:start w:val="3"/>
      <w:numFmt w:val="decimal"/>
      <w:isLgl/>
      <w:lvlText w:val="%1.%2."/>
      <w:lvlJc w:val="left"/>
      <w:pPr>
        <w:ind w:left="920" w:hanging="56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Zero"/>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E971ACE"/>
    <w:multiLevelType w:val="hybridMultilevel"/>
    <w:tmpl w:val="47BA2E3A"/>
    <w:lvl w:ilvl="0" w:tplc="FFFFFFFF">
      <w:start w:val="1"/>
      <w:numFmt w:val="bullet"/>
      <w:lvlText w:val="•"/>
      <w:lvlJc w:val="left"/>
      <w:pPr>
        <w:ind w:left="720" w:hanging="360"/>
      </w:pPr>
    </w:lvl>
    <w:lvl w:ilvl="1" w:tplc="C8D2A6F8">
      <w:start w:val="3"/>
      <w:numFmt w:val="bullet"/>
      <w:lvlText w:val=""/>
      <w:lvlJc w:val="left"/>
      <w:pPr>
        <w:ind w:left="1470" w:hanging="390"/>
      </w:pPr>
      <w:rPr>
        <w:rFonts w:ascii="Verdana" w:eastAsia="Aptos" w:hAnsi="Verdana" w:cs="Verdana"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308556018">
    <w:abstractNumId w:val="2"/>
  </w:num>
  <w:num w:numId="2" w16cid:durableId="525556022">
    <w:abstractNumId w:val="1"/>
  </w:num>
  <w:num w:numId="3" w16cid:durableId="608971131">
    <w:abstractNumId w:val="5"/>
  </w:num>
  <w:num w:numId="4" w16cid:durableId="364447552">
    <w:abstractNumId w:val="4"/>
  </w:num>
  <w:num w:numId="5" w16cid:durableId="1357854499">
    <w:abstractNumId w:val="6"/>
  </w:num>
  <w:num w:numId="6" w16cid:durableId="1422334574">
    <w:abstractNumId w:val="7"/>
  </w:num>
  <w:num w:numId="7" w16cid:durableId="923342455">
    <w:abstractNumId w:val="8"/>
  </w:num>
  <w:num w:numId="8" w16cid:durableId="242498829">
    <w:abstractNumId w:val="0"/>
  </w:num>
  <w:num w:numId="9" w16cid:durableId="11876011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D28"/>
    <w:rsid w:val="00064607"/>
    <w:rsid w:val="00085BB7"/>
    <w:rsid w:val="000A152D"/>
    <w:rsid w:val="001301E9"/>
    <w:rsid w:val="00185ADB"/>
    <w:rsid w:val="001931A1"/>
    <w:rsid w:val="001B2BFA"/>
    <w:rsid w:val="001B3B76"/>
    <w:rsid w:val="002069D7"/>
    <w:rsid w:val="002526B4"/>
    <w:rsid w:val="002605E7"/>
    <w:rsid w:val="00264650"/>
    <w:rsid w:val="002942C1"/>
    <w:rsid w:val="002F06B6"/>
    <w:rsid w:val="002F6B38"/>
    <w:rsid w:val="00387637"/>
    <w:rsid w:val="003F3E82"/>
    <w:rsid w:val="00437AE2"/>
    <w:rsid w:val="0045535C"/>
    <w:rsid w:val="00471603"/>
    <w:rsid w:val="004A2BD3"/>
    <w:rsid w:val="004C2138"/>
    <w:rsid w:val="00511E79"/>
    <w:rsid w:val="00512626"/>
    <w:rsid w:val="00527EBC"/>
    <w:rsid w:val="00536CC7"/>
    <w:rsid w:val="00537192"/>
    <w:rsid w:val="0053770C"/>
    <w:rsid w:val="005737C5"/>
    <w:rsid w:val="005869B8"/>
    <w:rsid w:val="00594692"/>
    <w:rsid w:val="005C1D08"/>
    <w:rsid w:val="005D1F88"/>
    <w:rsid w:val="005F5D2B"/>
    <w:rsid w:val="0065088C"/>
    <w:rsid w:val="006E19A0"/>
    <w:rsid w:val="006F4EEC"/>
    <w:rsid w:val="00704A61"/>
    <w:rsid w:val="007144F4"/>
    <w:rsid w:val="00726DD2"/>
    <w:rsid w:val="00740634"/>
    <w:rsid w:val="00750B80"/>
    <w:rsid w:val="00760BBA"/>
    <w:rsid w:val="007734FA"/>
    <w:rsid w:val="007C6097"/>
    <w:rsid w:val="00844A73"/>
    <w:rsid w:val="008645D9"/>
    <w:rsid w:val="00866372"/>
    <w:rsid w:val="00891CE8"/>
    <w:rsid w:val="00896013"/>
    <w:rsid w:val="008A6289"/>
    <w:rsid w:val="008D4BCC"/>
    <w:rsid w:val="008D6002"/>
    <w:rsid w:val="008F2D12"/>
    <w:rsid w:val="008F516C"/>
    <w:rsid w:val="00903581"/>
    <w:rsid w:val="00916BDE"/>
    <w:rsid w:val="009245C6"/>
    <w:rsid w:val="009335C1"/>
    <w:rsid w:val="009666D1"/>
    <w:rsid w:val="00967A02"/>
    <w:rsid w:val="009D45B3"/>
    <w:rsid w:val="00A35AF2"/>
    <w:rsid w:val="00A44D3F"/>
    <w:rsid w:val="00A97D28"/>
    <w:rsid w:val="00AD7569"/>
    <w:rsid w:val="00AF055C"/>
    <w:rsid w:val="00B95903"/>
    <w:rsid w:val="00BB6BB3"/>
    <w:rsid w:val="00C0206F"/>
    <w:rsid w:val="00C42DD6"/>
    <w:rsid w:val="00C6752E"/>
    <w:rsid w:val="00C72253"/>
    <w:rsid w:val="00C85264"/>
    <w:rsid w:val="00C94DE4"/>
    <w:rsid w:val="00CA2A39"/>
    <w:rsid w:val="00CC290A"/>
    <w:rsid w:val="00D111CA"/>
    <w:rsid w:val="00D44194"/>
    <w:rsid w:val="00D45D9D"/>
    <w:rsid w:val="00D55FBA"/>
    <w:rsid w:val="00D67B70"/>
    <w:rsid w:val="00DB75B2"/>
    <w:rsid w:val="00DE5932"/>
    <w:rsid w:val="00DF25B9"/>
    <w:rsid w:val="00E06608"/>
    <w:rsid w:val="00E32D3F"/>
    <w:rsid w:val="00E75BB9"/>
    <w:rsid w:val="00E76999"/>
    <w:rsid w:val="00EB255C"/>
    <w:rsid w:val="00EC3348"/>
    <w:rsid w:val="00EC37BA"/>
    <w:rsid w:val="00EE39F2"/>
    <w:rsid w:val="00EF0DE4"/>
    <w:rsid w:val="00F04FFB"/>
    <w:rsid w:val="00F31150"/>
    <w:rsid w:val="00F55553"/>
    <w:rsid w:val="00F55E1D"/>
    <w:rsid w:val="00F758D5"/>
    <w:rsid w:val="00FA1ADE"/>
    <w:rsid w:val="00FA5F98"/>
    <w:rsid w:val="00FC1C95"/>
    <w:rsid w:val="00FF01BC"/>
    <w:rsid w:val="00FF0E38"/>
    <w:rsid w:val="69D6C898"/>
    <w:rsid w:val="7B9CE7B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87954"/>
  <w15:docId w15:val="{E8ADD378-8AE2-4EE5-A78E-76D4D6075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pPr>
    <w:rPr>
      <w:rFonts w:ascii="Calibri" w:eastAsia="Calibri" w:hAnsi="Calibri" w:cs="Calibri"/>
      <w:sz w:val="22"/>
      <w:szCs w:val="22"/>
      <w:lang w:val="es-ES" w:eastAsia="ar-SA"/>
    </w:rPr>
  </w:style>
  <w:style w:type="paragraph" w:styleId="Ttulo1">
    <w:name w:val="heading 1"/>
    <w:basedOn w:val="Normal"/>
    <w:next w:val="Normal"/>
    <w:pPr>
      <w:keepNext/>
      <w:keepLines/>
      <w:spacing w:before="480"/>
      <w:outlineLvl w:val="0"/>
    </w:pPr>
    <w:rPr>
      <w:rFonts w:ascii="Cambria" w:eastAsia="Times New Roman" w:hAnsi="Cambria" w:cs="Times New Roman"/>
      <w:b/>
      <w:bCs/>
      <w:color w:val="365F91"/>
      <w:sz w:val="28"/>
      <w:szCs w:val="28"/>
    </w:rPr>
  </w:style>
  <w:style w:type="paragraph" w:styleId="Ttulo2">
    <w:name w:val="heading 2"/>
    <w:basedOn w:val="Normal"/>
    <w:next w:val="Normal"/>
    <w:pPr>
      <w:keepNext/>
      <w:keepLines/>
      <w:spacing w:before="200"/>
      <w:outlineLvl w:val="1"/>
    </w:pPr>
    <w:rPr>
      <w:rFonts w:ascii="Cambria" w:eastAsia="Times New Roman" w:hAnsi="Cambria" w:cs="Times New Roman"/>
      <w:b/>
      <w:bCs/>
      <w:color w:val="4F81BD"/>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Fuentedeprrafopredeter7">
    <w:name w:val="Fuente de párrafo predeter.7"/>
  </w:style>
  <w:style w:type="character" w:customStyle="1" w:styleId="Absatz-Standardschriftart">
    <w:name w:val="Absatz-Standardschriftart"/>
  </w:style>
  <w:style w:type="character" w:customStyle="1" w:styleId="Fuentedeprrafopredeter6">
    <w:name w:val="Fuente de párrafo predeter.6"/>
  </w:style>
  <w:style w:type="character" w:customStyle="1" w:styleId="Fuentedeprrafopredeter5">
    <w:name w:val="Fuente de párrafo predeter.5"/>
  </w:style>
  <w:style w:type="character" w:customStyle="1" w:styleId="Fuentedeprrafopredeter4">
    <w:name w:val="Fuente de párrafo predeter.4"/>
  </w:style>
  <w:style w:type="character" w:customStyle="1" w:styleId="Fuentedeprrafopredeter3">
    <w:name w:val="Fuente de párrafo predeter.3"/>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Fuentedeprrafopredeter2">
    <w:name w:val="Fuente de párrafo predeter.2"/>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1z0">
    <w:name w:val="WW8Num1z0"/>
    <w:rPr>
      <w:rFonts w:cs="Times New Roman"/>
    </w:rPr>
  </w:style>
  <w:style w:type="character" w:customStyle="1" w:styleId="WW8Num2z0">
    <w:name w:val="WW8Num2z0"/>
    <w:rPr>
      <w:rFonts w:ascii="Symbol" w:hAnsi="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3z0">
    <w:name w:val="WW8Num3z0"/>
    <w:rPr>
      <w:rFonts w:cs="Times New Roman"/>
    </w:rPr>
  </w:style>
  <w:style w:type="character" w:customStyle="1" w:styleId="Fuentedeprrafopredeter1">
    <w:name w:val="Fuente de párrafo predeter.1"/>
  </w:style>
  <w:style w:type="character" w:customStyle="1" w:styleId="TextoindependienteCar">
    <w:name w:val="Texto independiente Car"/>
    <w:rPr>
      <w:rFonts w:ascii="Arial" w:hAnsi="Arial" w:cs="Arial"/>
      <w:sz w:val="20"/>
      <w:szCs w:val="20"/>
      <w:lang w:val="es"/>
    </w:rPr>
  </w:style>
  <w:style w:type="character" w:customStyle="1" w:styleId="TtuloCar">
    <w:name w:val="Título Car"/>
    <w:rPr>
      <w:rFonts w:ascii="Arial" w:hAnsi="Arial" w:cs="Arial"/>
      <w:b/>
      <w:bCs/>
      <w:sz w:val="20"/>
      <w:szCs w:val="20"/>
      <w:lang w:val="es"/>
    </w:rPr>
  </w:style>
  <w:style w:type="character" w:customStyle="1" w:styleId="TextodegloboCar">
    <w:name w:val="Texto de globo Car"/>
    <w:rPr>
      <w:rFonts w:ascii="Tahoma" w:hAnsi="Tahoma" w:cs="Tahoma"/>
      <w:sz w:val="16"/>
      <w:szCs w:val="16"/>
    </w:rPr>
  </w:style>
  <w:style w:type="character" w:customStyle="1" w:styleId="EncabezadoCar">
    <w:name w:val="Encabezado Car"/>
    <w:rPr>
      <w:rFonts w:ascii="Calibri" w:hAnsi="Calibri" w:cs="Calibri"/>
    </w:rPr>
  </w:style>
  <w:style w:type="character" w:customStyle="1" w:styleId="PiedepginaCar">
    <w:name w:val="Pie de página Car"/>
    <w:rPr>
      <w:rFonts w:ascii="Calibri" w:hAnsi="Calibri" w:cs="Calibri"/>
    </w:rPr>
  </w:style>
  <w:style w:type="character" w:customStyle="1" w:styleId="WW8Num7z1">
    <w:name w:val="WW8Num7z1"/>
    <w:rPr>
      <w:rFonts w:ascii="Courier New" w:hAnsi="Courier New"/>
    </w:rPr>
  </w:style>
  <w:style w:type="character" w:styleId="Hipervnculo">
    <w:name w:val="Hyperlink"/>
    <w:rPr>
      <w:rFonts w:cs="Times New Roman"/>
      <w:color w:val="0000FF"/>
      <w:u w:val="single"/>
    </w:rPr>
  </w:style>
  <w:style w:type="character" w:customStyle="1" w:styleId="TextonotapieCar">
    <w:name w:val="Texto nota pie Car"/>
    <w:rPr>
      <w:rFonts w:ascii="Calibri" w:hAnsi="Calibri" w:cs="Calibri"/>
      <w:sz w:val="20"/>
      <w:szCs w:val="20"/>
    </w:rPr>
  </w:style>
  <w:style w:type="character" w:customStyle="1" w:styleId="Smbolodenotaalpie">
    <w:name w:val="Símbolo de nota al pie"/>
    <w:rPr>
      <w:rFonts w:cs="Times New Roman"/>
      <w:position w:val="0"/>
      <w:vertAlign w:val="superscript"/>
    </w:rPr>
  </w:style>
  <w:style w:type="character" w:customStyle="1" w:styleId="Ttulo1Car">
    <w:name w:val="Título 1 Car"/>
    <w:rPr>
      <w:rFonts w:ascii="Cambria" w:eastAsia="Times New Roman" w:hAnsi="Cambria" w:cs="Times New Roman"/>
      <w:b/>
      <w:bCs/>
      <w:color w:val="365F91"/>
      <w:sz w:val="28"/>
      <w:szCs w:val="28"/>
      <w:lang w:val="es-ES"/>
    </w:rPr>
  </w:style>
  <w:style w:type="character" w:customStyle="1" w:styleId="Ttulo2Car">
    <w:name w:val="Título 2 Car"/>
    <w:rPr>
      <w:rFonts w:ascii="Cambria" w:eastAsia="Times New Roman" w:hAnsi="Cambria" w:cs="Times New Roman"/>
      <w:b/>
      <w:bCs/>
      <w:color w:val="4F81BD"/>
      <w:sz w:val="26"/>
      <w:szCs w:val="26"/>
      <w:lang w:val="es-ES"/>
    </w:rPr>
  </w:style>
  <w:style w:type="character" w:customStyle="1" w:styleId="EncabezadodemensajeCar">
    <w:name w:val="Encabezado de mensaje Car"/>
    <w:rPr>
      <w:rFonts w:ascii="Cambria" w:eastAsia="Times New Roman" w:hAnsi="Cambria" w:cs="Times New Roman"/>
      <w:sz w:val="24"/>
      <w:szCs w:val="24"/>
      <w:shd w:val="clear" w:color="auto" w:fill="CCCCCC"/>
      <w:lang w:val="es-ES"/>
    </w:rPr>
  </w:style>
  <w:style w:type="character" w:customStyle="1" w:styleId="SubttuloCar">
    <w:name w:val="Subtítulo Car"/>
    <w:rPr>
      <w:rFonts w:ascii="Cambria" w:eastAsia="Times New Roman" w:hAnsi="Cambria" w:cs="Times New Roman"/>
      <w:i/>
      <w:iCs/>
      <w:color w:val="4F81BD"/>
      <w:spacing w:val="15"/>
      <w:sz w:val="24"/>
      <w:szCs w:val="24"/>
      <w:lang w:val="es-ES"/>
    </w:rPr>
  </w:style>
  <w:style w:type="character" w:customStyle="1" w:styleId="Refdecomentario1">
    <w:name w:val="Ref. de comentario1"/>
    <w:rPr>
      <w:sz w:val="16"/>
      <w:szCs w:val="16"/>
    </w:rPr>
  </w:style>
  <w:style w:type="character" w:customStyle="1" w:styleId="TextocomentarioCar">
    <w:name w:val="Texto comentario Car"/>
    <w:link w:val="Textocomentario"/>
    <w:uiPriority w:val="99"/>
    <w:rPr>
      <w:rFonts w:ascii="Calibri" w:eastAsia="Calibri" w:hAnsi="Calibri" w:cs="Calibri"/>
      <w:lang w:val="es-ES"/>
    </w:rPr>
  </w:style>
  <w:style w:type="character" w:customStyle="1" w:styleId="AsuntodelcomentarioCar">
    <w:name w:val="Asunto del comentario Car"/>
    <w:rPr>
      <w:rFonts w:ascii="Calibri" w:eastAsia="Calibri" w:hAnsi="Calibri" w:cs="Calibri"/>
      <w:b/>
      <w:bCs/>
      <w:lang w:val="es-ES"/>
    </w:rPr>
  </w:style>
  <w:style w:type="paragraph" w:customStyle="1" w:styleId="Encabezado7">
    <w:name w:val="Encabezado7"/>
    <w:basedOn w:val="Normal"/>
    <w:next w:val="Textoindependiente"/>
    <w:pPr>
      <w:keepNext/>
      <w:spacing w:before="240" w:after="120"/>
    </w:pPr>
    <w:rPr>
      <w:rFonts w:ascii="Arial" w:eastAsia="Arial Unicode MS" w:hAnsi="Arial" w:cs="Mangal"/>
      <w:sz w:val="28"/>
      <w:szCs w:val="28"/>
    </w:rPr>
  </w:style>
  <w:style w:type="paragraph" w:styleId="Textoindependiente">
    <w:name w:val="Body Text"/>
    <w:basedOn w:val="Normal"/>
    <w:pPr>
      <w:widowControl w:val="0"/>
      <w:jc w:val="both"/>
    </w:pPr>
    <w:rPr>
      <w:rFonts w:ascii="Arial" w:eastAsia="Times New Roman" w:hAnsi="Arial" w:cs="Arial"/>
      <w:lang w:val="es"/>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sz w:val="24"/>
      <w:szCs w:val="24"/>
    </w:rPr>
  </w:style>
  <w:style w:type="paragraph" w:customStyle="1" w:styleId="ndice">
    <w:name w:val="Índice"/>
    <w:basedOn w:val="Normal"/>
    <w:pPr>
      <w:suppressLineNumbers/>
    </w:pPr>
    <w:rPr>
      <w:rFonts w:cs="Tahoma"/>
    </w:rPr>
  </w:style>
  <w:style w:type="paragraph" w:customStyle="1" w:styleId="Encabezado6">
    <w:name w:val="Encabezado6"/>
    <w:basedOn w:val="Normal"/>
    <w:next w:val="Textoindependiente"/>
    <w:pPr>
      <w:keepNext/>
      <w:spacing w:before="240" w:after="120"/>
    </w:pPr>
    <w:rPr>
      <w:rFonts w:ascii="Arial" w:eastAsia="Arial Unicode MS" w:hAnsi="Arial" w:cs="Tahoma"/>
      <w:sz w:val="28"/>
      <w:szCs w:val="28"/>
    </w:rPr>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customStyle="1" w:styleId="Encabezado4">
    <w:name w:val="Encabezado4"/>
    <w:basedOn w:val="Normal"/>
    <w:next w:val="Textoindependiente"/>
    <w:pPr>
      <w:keepNext/>
      <w:spacing w:before="240" w:after="120"/>
    </w:pPr>
    <w:rPr>
      <w:rFonts w:ascii="Arial" w:eastAsia="MS Mincho" w:hAnsi="Arial" w:cs="Tahoma"/>
      <w:sz w:val="28"/>
      <w:szCs w:val="28"/>
    </w:rPr>
  </w:style>
  <w:style w:type="paragraph" w:customStyle="1" w:styleId="Encabezado3">
    <w:name w:val="Encabezado3"/>
    <w:basedOn w:val="Normal"/>
    <w:next w:val="Textoindependiente"/>
    <w:pPr>
      <w:keepNext/>
      <w:spacing w:before="240" w:after="120"/>
    </w:pPr>
    <w:rPr>
      <w:rFonts w:ascii="Arial" w:eastAsia="MS Mincho" w:hAnsi="Arial" w:cs="Tahoma"/>
      <w:sz w:val="28"/>
      <w:szCs w:val="28"/>
    </w:rPr>
  </w:style>
  <w:style w:type="paragraph" w:customStyle="1" w:styleId="Encabezado2">
    <w:name w:val="Encabezado2"/>
    <w:basedOn w:val="Normal"/>
    <w:next w:val="Textoindependiente"/>
    <w:pPr>
      <w:keepNext/>
      <w:spacing w:before="240" w:after="120"/>
    </w:pPr>
    <w:rPr>
      <w:rFonts w:ascii="Arial" w:eastAsia="MS Mincho" w:hAnsi="Arial" w:cs="Tahoma"/>
      <w:sz w:val="28"/>
      <w:szCs w:val="28"/>
    </w:rPr>
  </w:style>
  <w:style w:type="paragraph" w:customStyle="1" w:styleId="Encabezado1">
    <w:name w:val="Encabezado1"/>
    <w:basedOn w:val="Normal"/>
    <w:next w:val="Textoindependiente"/>
    <w:pPr>
      <w:keepNext/>
      <w:spacing w:before="240" w:after="120"/>
    </w:pPr>
    <w:rPr>
      <w:rFonts w:ascii="Arial" w:eastAsia="MS Mincho" w:hAnsi="Arial" w:cs="Tahoma"/>
      <w:sz w:val="28"/>
      <w:szCs w:val="28"/>
    </w:rPr>
  </w:style>
  <w:style w:type="paragraph" w:styleId="Ttulo">
    <w:name w:val="Title"/>
    <w:basedOn w:val="Normal"/>
    <w:next w:val="Subttulo"/>
    <w:pPr>
      <w:widowControl w:val="0"/>
      <w:jc w:val="center"/>
    </w:pPr>
    <w:rPr>
      <w:rFonts w:ascii="Arial" w:eastAsia="Times New Roman" w:hAnsi="Arial" w:cs="Arial"/>
      <w:b/>
      <w:bCs/>
      <w:lang w:val="es"/>
    </w:rPr>
  </w:style>
  <w:style w:type="paragraph" w:styleId="Subttulo">
    <w:name w:val="Subtitle"/>
    <w:basedOn w:val="Normal"/>
    <w:next w:val="Normal"/>
    <w:rPr>
      <w:rFonts w:ascii="Cambria" w:eastAsia="Times New Roman" w:hAnsi="Cambria" w:cs="Times New Roman"/>
      <w:i/>
      <w:iCs/>
      <w:color w:val="4F81BD"/>
      <w:spacing w:val="15"/>
      <w:sz w:val="24"/>
      <w:szCs w:val="24"/>
    </w:rPr>
  </w:style>
  <w:style w:type="paragraph" w:styleId="Textodeglobo">
    <w:name w:val="Balloon Text"/>
    <w:basedOn w:val="Normal"/>
    <w:rPr>
      <w:rFonts w:ascii="Tahoma" w:hAnsi="Tahoma" w:cs="Tahoma"/>
      <w:sz w:val="16"/>
      <w:szCs w:val="16"/>
    </w:rPr>
  </w:style>
  <w:style w:type="paragraph" w:styleId="Encabezado">
    <w:name w:val="header"/>
    <w:basedOn w:val="Normal"/>
  </w:style>
  <w:style w:type="paragraph" w:styleId="Piedepgina">
    <w:name w:val="footer"/>
    <w:basedOn w:val="Normal"/>
  </w:style>
  <w:style w:type="paragraph" w:styleId="Textonotapie">
    <w:name w:val="footnote text"/>
    <w:basedOn w:val="Normal"/>
    <w:rPr>
      <w:sz w:val="20"/>
      <w:szCs w:val="20"/>
    </w:rPr>
  </w:style>
  <w:style w:type="paragraph" w:customStyle="1" w:styleId="CharCharCharChar">
    <w:name w:val="Char Char Char Char"/>
    <w:basedOn w:val="Normal"/>
    <w:pPr>
      <w:spacing w:after="160" w:line="240" w:lineRule="exact"/>
    </w:pPr>
    <w:rPr>
      <w:rFonts w:ascii="Verdana" w:eastAsia="Times New Roman" w:hAnsi="Verdana" w:cs="Times New Roman"/>
      <w:sz w:val="20"/>
      <w:szCs w:val="20"/>
      <w:lang w:val="en-US"/>
    </w:rPr>
  </w:style>
  <w:style w:type="paragraph" w:customStyle="1" w:styleId="Encabezadodemensaje1">
    <w:name w:val="Encabezado de mensaje1"/>
    <w:basedOn w:val="Normal"/>
    <w:pPr>
      <w:shd w:val="clear" w:color="auto" w:fill="CCCCCC"/>
      <w:ind w:left="1134" w:hanging="1134"/>
    </w:pPr>
    <w:rPr>
      <w:rFonts w:ascii="Cambria" w:eastAsia="Times New Roman" w:hAnsi="Cambria" w:cs="Times New Roman"/>
      <w:sz w:val="24"/>
      <w:szCs w:val="24"/>
    </w:r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customStyle="1" w:styleId="Textocomentario1">
    <w:name w:val="Texto comentario1"/>
    <w:basedOn w:val="Normal"/>
    <w:rPr>
      <w:rFonts w:cs="Times New Roman"/>
      <w:sz w:val="20"/>
      <w:szCs w:val="20"/>
    </w:rPr>
  </w:style>
  <w:style w:type="paragraph" w:styleId="Asuntodelcomentario">
    <w:name w:val="annotation subject"/>
    <w:basedOn w:val="Textocomentario1"/>
    <w:next w:val="Textocomentario1"/>
    <w:rPr>
      <w:b/>
      <w:bCs/>
    </w:rPr>
  </w:style>
  <w:style w:type="paragraph" w:customStyle="1" w:styleId="Estilo1">
    <w:name w:val="Estilo1"/>
    <w:basedOn w:val="Normal"/>
    <w:pPr>
      <w:widowControl w:val="0"/>
    </w:pPr>
    <w:rPr>
      <w:rFonts w:ascii="Arial" w:eastAsia="Arial Unicode MS" w:hAnsi="Arial" w:cs="Times New Roman"/>
      <w:kern w:val="3"/>
      <w:sz w:val="24"/>
      <w:szCs w:val="24"/>
      <w:lang w:val="es"/>
    </w:rPr>
  </w:style>
  <w:style w:type="paragraph" w:styleId="Prrafodelista">
    <w:name w:val="List Paragraph"/>
    <w:basedOn w:val="Normal"/>
    <w:uiPriority w:val="34"/>
    <w:qFormat/>
    <w:pPr>
      <w:ind w:left="720"/>
    </w:pPr>
    <w:rPr>
      <w:rFonts w:cs="Times New Roman"/>
      <w:lang w:val="es-CO" w:eastAsia="en-US"/>
    </w:rPr>
  </w:style>
  <w:style w:type="character" w:styleId="Refdecomentario">
    <w:name w:val="annotation reference"/>
    <w:uiPriority w:val="99"/>
    <w:semiHidden/>
    <w:unhideWhenUsed/>
    <w:rsid w:val="005869B8"/>
    <w:rPr>
      <w:sz w:val="16"/>
      <w:szCs w:val="16"/>
    </w:rPr>
  </w:style>
  <w:style w:type="paragraph" w:styleId="Textocomentario">
    <w:name w:val="annotation text"/>
    <w:basedOn w:val="Normal"/>
    <w:link w:val="TextocomentarioCar"/>
    <w:uiPriority w:val="99"/>
    <w:unhideWhenUsed/>
    <w:rsid w:val="005869B8"/>
    <w:pPr>
      <w:suppressAutoHyphens w:val="0"/>
      <w:autoSpaceDN/>
      <w:spacing w:after="160" w:line="278" w:lineRule="auto"/>
      <w:textAlignment w:val="auto"/>
    </w:pPr>
    <w:rPr>
      <w:sz w:val="20"/>
      <w:szCs w:val="20"/>
      <w:lang w:eastAsia="es-CO"/>
    </w:rPr>
  </w:style>
  <w:style w:type="character" w:customStyle="1" w:styleId="TextocomentarioCar1">
    <w:name w:val="Texto comentario Car1"/>
    <w:basedOn w:val="Fuentedeprrafopredeter"/>
    <w:uiPriority w:val="99"/>
    <w:semiHidden/>
    <w:rsid w:val="005869B8"/>
    <w:rPr>
      <w:rFonts w:ascii="Calibri" w:eastAsia="Calibri" w:hAnsi="Calibri" w:cs="Calibri"/>
      <w:lang w:val="es-ES" w:eastAsia="ar-SA"/>
    </w:rPr>
  </w:style>
  <w:style w:type="character" w:styleId="Mencinsinresolver">
    <w:name w:val="Unresolved Mention"/>
    <w:basedOn w:val="Fuentedeprrafopredeter"/>
    <w:uiPriority w:val="99"/>
    <w:semiHidden/>
    <w:unhideWhenUsed/>
    <w:rsid w:val="00DE5932"/>
    <w:rPr>
      <w:color w:val="605E5C"/>
      <w:shd w:val="clear" w:color="auto" w:fill="E1DFDD"/>
    </w:rPr>
  </w:style>
  <w:style w:type="character" w:styleId="Refdenotaalpie">
    <w:name w:val="footnote reference"/>
    <w:basedOn w:val="Fuentedeprrafopredeter"/>
    <w:uiPriority w:val="99"/>
    <w:semiHidden/>
    <w:unhideWhenUsed/>
    <w:rsid w:val="00DE593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cra.gov.co/prensa/noticias/resolucion-1032-2026-nuevo-marco-tarifario-acueducto-alcantarillado-grandes-prestador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6E0F052F7D8D049BB205D4AAC80D1CC" ma:contentTypeVersion="18" ma:contentTypeDescription="Crear nuevo documento." ma:contentTypeScope="" ma:versionID="a48740ecdc503a6a80debe7be60a92a3">
  <xsd:schema xmlns:xsd="http://www.w3.org/2001/XMLSchema" xmlns:xs="http://www.w3.org/2001/XMLSchema" xmlns:p="http://schemas.microsoft.com/office/2006/metadata/properties" xmlns:ns2="0c3ff982-b687-4eb5-9a04-fd6efaf5d504" xmlns:ns3="ae0c3cce-6c31-4f1f-b54e-e7c442e692b0" targetNamespace="http://schemas.microsoft.com/office/2006/metadata/properties" ma:root="true" ma:fieldsID="c7560ae8be71a752f282334a663107ae" ns2:_="" ns3:_="">
    <xsd:import namespace="0c3ff982-b687-4eb5-9a04-fd6efaf5d504"/>
    <xsd:import namespace="ae0c3cce-6c31-4f1f-b54e-e7c442e692b0"/>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3ff982-b687-4eb5-9a04-fd6efaf5d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3912e655-385c-46bd-b52b-7c1134c93539"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0c3cce-6c31-4f1f-b54e-e7c442e692b0"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d963f1d6-81ba-41f1-a10f-a01c4f40578d}" ma:internalName="TaxCatchAll" ma:showField="CatchAllData" ma:web="ae0c3cce-6c31-4f1f-b54e-e7c442e692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e0c3cce-6c31-4f1f-b54e-e7c442e692b0" xsi:nil="true"/>
    <lcf76f155ced4ddcb4097134ff3c332f xmlns="0c3ff982-b687-4eb5-9a04-fd6efaf5d50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E00FB-6AAB-476E-81F3-44AE84056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3ff982-b687-4eb5-9a04-fd6efaf5d504"/>
    <ds:schemaRef ds:uri="ae0c3cce-6c31-4f1f-b54e-e7c442e692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A7DEB4-3934-4B03-9D04-0AFCA7D2D3BE}">
  <ds:schemaRefs>
    <ds:schemaRef ds:uri="http://schemas.microsoft.com/office/2006/metadata/properties"/>
    <ds:schemaRef ds:uri="http://schemas.microsoft.com/office/infopath/2007/PartnerControls"/>
    <ds:schemaRef ds:uri="ae0c3cce-6c31-4f1f-b54e-e7c442e692b0"/>
    <ds:schemaRef ds:uri="0c3ff982-b687-4eb5-9a04-fd6efaf5d504"/>
  </ds:schemaRefs>
</ds:datastoreItem>
</file>

<file path=customXml/itemProps3.xml><?xml version="1.0" encoding="utf-8"?>
<ds:datastoreItem xmlns:ds="http://schemas.openxmlformats.org/officeDocument/2006/customXml" ds:itemID="{BE3E9932-0592-4BD1-A80E-D4F03185C995}">
  <ds:schemaRefs>
    <ds:schemaRef ds:uri="http://schemas.microsoft.com/sharepoint/v3/contenttype/forms"/>
  </ds:schemaRefs>
</ds:datastoreItem>
</file>

<file path=customXml/itemProps4.xml><?xml version="1.0" encoding="utf-8"?>
<ds:datastoreItem xmlns:ds="http://schemas.openxmlformats.org/officeDocument/2006/customXml" ds:itemID="{EE50F236-D651-4948-BB0F-6EA5D759C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12</Pages>
  <Words>4074</Words>
  <Characters>22413</Characters>
  <Application>Microsoft Office Word</Application>
  <DocSecurity>0</DocSecurity>
  <Lines>186</Lines>
  <Paragraphs>52</Paragraphs>
  <ScaleCrop>false</ScaleCrop>
  <Company/>
  <LinksUpToDate>false</LinksUpToDate>
  <CharactersWithSpaces>26435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Bogotá, D</dc:title>
  <dc:creator>Preferred Customer</dc:creator>
  <cp:lastModifiedBy>Dalix Yesblaidy Gutierrez Fuentes</cp:lastModifiedBy>
  <cp:revision>102</cp:revision>
  <cp:lastPrinted>2013-02-22T16:19:00Z</cp:lastPrinted>
  <dcterms:created xsi:type="dcterms:W3CDTF">2018-12-10T13:12:00Z</dcterms:created>
  <dcterms:modified xsi:type="dcterms:W3CDTF">2026-07-03T17:03:00Z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0x010100B6E0F052F7D8D049BB205D4AAC80D1CC</vt:lpwstr>
  </property>
  <property fmtid="{D5CDD505-2E9C-101B-9397-08002B2CF9AE}" pid="3" name="Order">
    <vt:r8>86600</vt:r8>
  </property>
  <property fmtid="{D5CDD505-2E9C-101B-9397-08002B2CF9AE}" pid="4" name="MediaServiceImageTags">
    <vt:lpwstr/>
  </property>
</Properties>
</file>